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40DDF" w14:textId="77777777" w:rsidR="00EB2235" w:rsidRPr="00EB2235" w:rsidRDefault="00EB2235" w:rsidP="00EB2235">
      <w:pPr>
        <w:rPr>
          <w:rFonts w:ascii="Times New Roman" w:eastAsia="Times New Roman" w:hAnsi="Times New Roman" w:cs="Times New Roman"/>
          <w:lang w:eastAsia="sv-SE"/>
        </w:rPr>
      </w:pPr>
      <w:r w:rsidRPr="00EB2235">
        <w:rPr>
          <w:rFonts w:ascii="Calibri" w:eastAsia="Times New Roman" w:hAnsi="Calibri" w:cs="Calibri"/>
          <w:color w:val="666666"/>
          <w:lang w:eastAsia="sv-SE"/>
        </w:rPr>
        <w:t xml:space="preserve">Dokumentet ingår i genmälet till förvaltningsdomstolen där föräldrar har överklagat ett beslut av Helsingfors stad om ett nytt megaförskola med 252 barn. Motiveringen är bland annat att man bryter mot förvaltningslagen i och med att staden inte har utrett frågan om huruvida så stora daghem är förenligt med barnets bästa på det sätt som förutsätts i lagen om småbarnspedagogik och att det saknas akademisk forskning kring effekterna av förskolor i sådan storleksklass. Marjatta Kalliala är docent i förskolepedagogik och arbetar som universitetslektor vid Helsingfors universitets lärarutbildningsinstitut. Översatt från finska med Chat </w:t>
      </w:r>
      <w:proofErr w:type="spellStart"/>
      <w:r w:rsidRPr="00EB2235">
        <w:rPr>
          <w:rFonts w:ascii="Calibri" w:eastAsia="Times New Roman" w:hAnsi="Calibri" w:cs="Calibri"/>
          <w:color w:val="666666"/>
          <w:lang w:eastAsia="sv-SE"/>
        </w:rPr>
        <w:t>GPT</w:t>
      </w:r>
      <w:proofErr w:type="spellEnd"/>
      <w:r w:rsidRPr="00EB2235">
        <w:rPr>
          <w:rFonts w:ascii="Calibri" w:eastAsia="Times New Roman" w:hAnsi="Calibri" w:cs="Calibri"/>
          <w:color w:val="666666"/>
          <w:lang w:eastAsia="sv-SE"/>
        </w:rPr>
        <w:t>.</w:t>
      </w:r>
    </w:p>
    <w:p w14:paraId="1114DAF0" w14:textId="77777777" w:rsidR="00EB2235" w:rsidRPr="00EB2235" w:rsidRDefault="00EB2235" w:rsidP="00EB2235">
      <w:pPr>
        <w:spacing w:before="240" w:after="240"/>
        <w:outlineLvl w:val="2"/>
        <w:rPr>
          <w:rFonts w:ascii="Times New Roman" w:eastAsia="Times New Roman" w:hAnsi="Times New Roman" w:cs="Times New Roman"/>
          <w:b/>
          <w:bCs/>
          <w:sz w:val="27"/>
          <w:szCs w:val="27"/>
          <w:lang w:eastAsia="sv-SE"/>
        </w:rPr>
      </w:pPr>
      <w:r w:rsidRPr="00EB2235">
        <w:rPr>
          <w:rFonts w:ascii="Calibri" w:eastAsia="Times New Roman" w:hAnsi="Calibri" w:cs="Calibri"/>
          <w:b/>
          <w:bCs/>
          <w:color w:val="000000"/>
          <w:sz w:val="28"/>
          <w:szCs w:val="28"/>
          <w:lang w:eastAsia="sv-SE"/>
        </w:rPr>
        <w:t xml:space="preserve">Expertutlåtande 17.10.2024 angående det planerade daghemmet på </w:t>
      </w:r>
      <w:proofErr w:type="spellStart"/>
      <w:r w:rsidRPr="00EB2235">
        <w:rPr>
          <w:rFonts w:ascii="Calibri" w:eastAsia="Times New Roman" w:hAnsi="Calibri" w:cs="Calibri"/>
          <w:b/>
          <w:bCs/>
          <w:color w:val="000000"/>
          <w:sz w:val="28"/>
          <w:szCs w:val="28"/>
          <w:lang w:eastAsia="sv-SE"/>
        </w:rPr>
        <w:t>Ensi</w:t>
      </w:r>
      <w:proofErr w:type="spellEnd"/>
      <w:r w:rsidRPr="00EB2235">
        <w:rPr>
          <w:rFonts w:ascii="Calibri" w:eastAsia="Times New Roman" w:hAnsi="Calibri" w:cs="Calibri"/>
          <w:b/>
          <w:bCs/>
          <w:color w:val="000000"/>
          <w:sz w:val="28"/>
          <w:szCs w:val="28"/>
          <w:lang w:eastAsia="sv-SE"/>
        </w:rPr>
        <w:t xml:space="preserve"> </w:t>
      </w:r>
      <w:proofErr w:type="spellStart"/>
      <w:r w:rsidRPr="00EB2235">
        <w:rPr>
          <w:rFonts w:ascii="Calibri" w:eastAsia="Times New Roman" w:hAnsi="Calibri" w:cs="Calibri"/>
          <w:b/>
          <w:bCs/>
          <w:color w:val="000000"/>
          <w:sz w:val="28"/>
          <w:szCs w:val="28"/>
          <w:lang w:eastAsia="sv-SE"/>
        </w:rPr>
        <w:t>linja</w:t>
      </w:r>
      <w:proofErr w:type="spellEnd"/>
    </w:p>
    <w:p w14:paraId="681FE222" w14:textId="77777777" w:rsidR="00EB2235" w:rsidRPr="00EB2235" w:rsidRDefault="00EB2235" w:rsidP="00EB2235">
      <w:pPr>
        <w:spacing w:before="240" w:after="240"/>
        <w:outlineLvl w:val="2"/>
        <w:rPr>
          <w:rFonts w:ascii="Times New Roman" w:eastAsia="Times New Roman" w:hAnsi="Times New Roman" w:cs="Times New Roman"/>
          <w:b/>
          <w:bCs/>
          <w:sz w:val="27"/>
          <w:szCs w:val="27"/>
          <w:lang w:eastAsia="sv-SE"/>
        </w:rPr>
      </w:pPr>
      <w:r w:rsidRPr="00EB2235">
        <w:rPr>
          <w:rFonts w:ascii="Calibri" w:eastAsia="Times New Roman" w:hAnsi="Calibri" w:cs="Calibri"/>
          <w:b/>
          <w:bCs/>
          <w:color w:val="000000"/>
          <w:lang w:eastAsia="sv-SE"/>
        </w:rPr>
        <w:t>Marjatta Kalliala, docent i småbarnspedagogik</w:t>
      </w:r>
    </w:p>
    <w:p w14:paraId="2A330DFE"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Det finska daghemsbyggandet genomgår för närvarande en kraftig förändring. Jättedaghem, ofta för ett par hundra barn och ibland upp till trehundra barn, har på senare år byggts i allt snabbare takt i både stora och små kommuner. </w:t>
      </w:r>
    </w:p>
    <w:p w14:paraId="03AC825F"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Tidigare var det annorlunda. När heldagsgrupper blev vanligare från och med 1980-talet försökte man underlätta verksamheten i daghemmen genom att skapa planlösningar utan korridorer och ge större uppmärksamhet åt utformningen av utomhusmiljöerna och vegetationen. Utrymmesplaneringen och vyerna i byggnaderna gjordes så att barnen lätt kunde orientera sig i byggnaden. Utrymmena i daghemmen baserades främst på hemmiljöer, vilket även framgår av RT-kortet från 1980, "Planering av daghemslokaler", som betonar hemmiljöliknande utrymmen, flexibilitet, ändamålsenlighet och funktionalitet ur både barnens och de vuxnas perspektiv. </w:t>
      </w:r>
    </w:p>
    <w:p w14:paraId="0C1239BA" w14:textId="77777777" w:rsidR="00EB2235" w:rsidRPr="00EB2235" w:rsidRDefault="00EB2235" w:rsidP="00EB2235">
      <w:pPr>
        <w:rPr>
          <w:rFonts w:ascii="Times New Roman" w:eastAsia="Times New Roman" w:hAnsi="Times New Roman" w:cs="Times New Roman"/>
          <w:lang w:eastAsia="sv-SE"/>
        </w:rPr>
      </w:pPr>
      <w:r w:rsidRPr="00EB2235">
        <w:rPr>
          <w:rFonts w:ascii="Calibri" w:eastAsia="Times New Roman" w:hAnsi="Calibri" w:cs="Calibri"/>
          <w:color w:val="000000"/>
          <w:lang w:eastAsia="sv-SE"/>
        </w:rPr>
        <w:t>I daghemmen fick det inte finnas fler än 100 barn, men från och med 1990 tilläts också större daghem. Begränsningen på 100 barn togs dock bort från det RT-kort (</w:t>
      </w:r>
      <w:r w:rsidRPr="00EB2235">
        <w:rPr>
          <w:rFonts w:ascii="Calibri" w:eastAsia="Times New Roman" w:hAnsi="Calibri" w:cs="Calibri"/>
          <w:i/>
          <w:iCs/>
          <w:color w:val="000000"/>
          <w:lang w:eastAsia="sv-SE"/>
        </w:rPr>
        <w:t>kommentar i översättningen - RT-kort är Utbildningsstyrelsens anvisningar för dimensioneringen av skolor avseende en sund och säker byggnad</w:t>
      </w:r>
      <w:r w:rsidRPr="00EB2235">
        <w:rPr>
          <w:rFonts w:ascii="Calibri" w:eastAsia="Times New Roman" w:hAnsi="Calibri" w:cs="Calibri"/>
          <w:color w:val="000000"/>
          <w:lang w:eastAsia="sv-SE"/>
        </w:rPr>
        <w:t>) som fokuserade på daghemsplanering först år 2010. Med ökad storlek har daghemsbyggandet rört sig bort från hemmiljöliknande lösningar till skol- och institutionsliknande. Denna förändring är grundläggande. Tidigare hade varje grupp tillgång till två rymliga och mångsidiga rum hela dagen. Ett av rummen användes som matplats, ateljé, lekrum, grupprum och undervisningsrum, medan det andra passade för vila, lek, rörelse och musikundervisning. Allt fungerade smidigt eftersom utrymmena var separata, tillräckligt stora och nära varandra. Man strävade också efter att högst två barngrupper skulle ha samma ingång och kapprum, vilket underlättade dagliga övergångar. I de nya daghemmen har det dock uppstått institutionsliknande drag som korridorer, stora kapprum, matsalar och andra gemensamma utrymmen, som ofta ligger långt ifrån varandra och vars användning måste förhandlas och avtalas i förväg.</w:t>
      </w:r>
    </w:p>
    <w:p w14:paraId="323D456D"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Nuförtiden verkar tanken på daghem som barnens platser inte vara utgångspunkten, utan exempelvis tanken på byggnaders anpassningsbarhet styr designen. Förändringen verkar komma från beställarsidan, ofta från kommunerna. Många större kommuner har också tagit fram egna riktlinjer för daghemsplanering. Samtidigt verkar enheterna ha blivit större och </w:t>
      </w:r>
      <w:r w:rsidRPr="00EB2235">
        <w:rPr>
          <w:rFonts w:ascii="Calibri" w:eastAsia="Times New Roman" w:hAnsi="Calibri" w:cs="Calibri"/>
          <w:color w:val="000000"/>
          <w:lang w:eastAsia="sv-SE"/>
        </w:rPr>
        <w:lastRenderedPageBreak/>
        <w:t>utrymmet per barn har minskat. Leena Salminen, förskollärare och byggnadsarkitekt som arbetat i daghem, säger att hon har följt förändringen med förundran. </w:t>
      </w:r>
    </w:p>
    <w:p w14:paraId="739D2A8E"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Den radikala förändringen i daghemsbyggandet påverkar naturligtvis lärmiljöerna, vilket i sin tur påverkar – och i detta fall försvårar – möjligheten att genomföra högkvalitativ småbarnspedagogik. Lärmiljöernas förändringar påverkar direkt vardagen för alla barn som omfattas av småbarnspedagogiken, vilket motsvarar cirka 75 procent av alla barn i åldrarna 1–6 år.</w:t>
      </w:r>
    </w:p>
    <w:p w14:paraId="6F76801F"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I både Sverige och Norge pågår en liknande omställning som i Finland när det gäller daghemsbyggande. I alla tre länderna har både inomhusytor och gårdsområden per barn minskat samtidigt som daghemsbyggnaderna har blivit större. I varje land har jättedaghem också väckt stark kritik och frågan om vad som är den ideala storleken för ett daghem har ställts. </w:t>
      </w:r>
      <w:r w:rsidRPr="00EB2235">
        <w:rPr>
          <w:rFonts w:ascii="Calibri" w:eastAsia="Times New Roman" w:hAnsi="Calibri" w:cs="Calibri"/>
          <w:color w:val="000000"/>
          <w:lang w:eastAsia="sv-SE"/>
        </w:rPr>
        <w:br/>
      </w:r>
      <w:r w:rsidRPr="00EB2235">
        <w:rPr>
          <w:rFonts w:ascii="Calibri" w:eastAsia="Times New Roman" w:hAnsi="Calibri" w:cs="Calibri"/>
          <w:color w:val="000000"/>
          <w:lang w:eastAsia="sv-SE"/>
        </w:rPr>
        <w:br/>
      </w:r>
    </w:p>
    <w:p w14:paraId="301E0CE4" w14:textId="77777777" w:rsidR="00EB2235" w:rsidRPr="00EB2235" w:rsidRDefault="00EB2235" w:rsidP="00EB2235">
      <w:pPr>
        <w:spacing w:before="240" w:after="240"/>
        <w:outlineLvl w:val="2"/>
        <w:rPr>
          <w:rFonts w:ascii="Times New Roman" w:eastAsia="Times New Roman" w:hAnsi="Times New Roman" w:cs="Times New Roman"/>
          <w:b/>
          <w:bCs/>
          <w:sz w:val="27"/>
          <w:szCs w:val="27"/>
          <w:lang w:eastAsia="sv-SE"/>
        </w:rPr>
      </w:pPr>
      <w:r w:rsidRPr="00EB2235">
        <w:rPr>
          <w:rFonts w:ascii="Calibri" w:eastAsia="Times New Roman" w:hAnsi="Calibri" w:cs="Calibri"/>
          <w:b/>
          <w:bCs/>
          <w:color w:val="000000"/>
          <w:lang w:eastAsia="sv-SE"/>
        </w:rPr>
        <w:t>Skalan påverkar allt</w:t>
      </w:r>
    </w:p>
    <w:p w14:paraId="0BE14266"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Även om personalens kompetens, motivation och arbetsmoral har en stor inverkan på kvaliteten på småbarnspedagogiken, oavsett daghemmets storlek, kan inget kompensera för de problem som uppstår till följd av jättedaghemmens storlek. Det är inte förvånande att kritiken fokuserar på samma saker oavsett land. I jättedaghem blir många saker betungande för både barn och vuxna. Redan på 1970-talet varnade man för att stora daghem kan skapa otrygghet och göra barnen ”anonyma”. För att kunna skapa en anknytning till sina vårdare behöver små barn en stabil och tillräckligt liten grupp med fasta vuxna. I jättedaghem är dock personalens engagemang lägre och omsättningen högre än i mindre daghem, vilket försvårar, och i värsta fall hindrar, anknytningsprocessen. Barn kan inte heller interagera med så många vuxna och barn som krävs för att klara vardagen i ett jättedaghem. </w:t>
      </w:r>
    </w:p>
    <w:p w14:paraId="5BBD060A"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Varje barns hjärnans ergonomi måste skyddas genom att onödig belastning minskas, men i jättedaghem är detta omöjligt. Redan förflyttningen av stora grupper av barn från ett utrymme till ett annat skapar så många stimuli att det är långt ifrån målet med informationsergonomi. </w:t>
      </w:r>
    </w:p>
    <w:p w14:paraId="7D9D964E"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I traditionella daghem innebar däremot att äta i sin egen grupp en möjlighet till varm interaktion mellan barn och vuxna, liksom de lugna på- och avklädningssituationerna, som en barnskötare i min egen forskning njöt av eftersom ”det är härligt att ha barnet nära sig”. </w:t>
      </w:r>
    </w:p>
    <w:p w14:paraId="219C2506"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Jättedaghemmens stela strukturer tvingar de vuxna att anpassa sig till tidskrävande rumsbokningsarrangemang och följa exakta tidscheman för användning av utrymmen och förflyttningar. I jättedaghem vistas man ofta utomhus och äter i två omgångar, vilket skapar stress och ökar stressnivåerna hos både barn och vuxna. Dagens rytm är viktig, men i småbarnspedagogiken måste den kunna följas på ett flexibelt sätt både tidsmässigt och i användningen av utrymmen. </w:t>
      </w:r>
    </w:p>
    <w:p w14:paraId="7E45263A"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lastRenderedPageBreak/>
        <w:t>Ur ett pedagogiskt perspektiv är det problematiskt att pedagoger och annan personal i jättestora förskolor tvingas ägna alltför mycket tid åt annat än att arbeta med barnen, samt åt planering och förberedelser. Många saker blir helt enkelt ogjorda eftersom de har blivit så krångliga. Tidigare kunde man bara ta en vaxduk, papper och vattenfärger från hyllan och börja måla, nu måste man boka en verkstadslokal långt bort för en bestämd tid.</w:t>
      </w:r>
    </w:p>
    <w:p w14:paraId="3DD8711D"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Man brukade sätta sig vid ett bord och börja måla, men nu börjar processen med att boka en verkstadslokal för en viss tid, som ligger på andra sidan huset. Problemen löses dock inte genom att minska den styrda verksamheten ännu mer. Det nationella hjärnhälso</w:t>
      </w:r>
      <w:r w:rsidRPr="00EB2235">
        <w:rPr>
          <w:rFonts w:ascii="Calibri" w:eastAsia="Times New Roman" w:hAnsi="Calibri" w:cs="Calibri"/>
          <w:color w:val="000000"/>
          <w:lang w:eastAsia="sv-SE"/>
        </w:rPr>
        <w:softHyphen/>
        <w:t>programmet påminner i fråga om förskoleverksamhet också om att "små barns hjärnor är inte redo att fungera i en miljö där eget intresse, egna val och högt tempo är starkt framträdande. De behöver mycket mer vuxen vägledning och stimulans kring saker som är viktiga för framtiden, även om de inte omedelbart ger belöning.</w:t>
      </w:r>
    </w:p>
    <w:p w14:paraId="33782AB2"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Innehållsrik förskoleverksamhet är en rättighet för barnet och lika viktig som förut. Lek, </w:t>
      </w:r>
      <w:proofErr w:type="spellStart"/>
      <w:r w:rsidRPr="00EB2235">
        <w:rPr>
          <w:rFonts w:ascii="Calibri" w:eastAsia="Times New Roman" w:hAnsi="Calibri" w:cs="Calibri"/>
          <w:color w:val="000000"/>
          <w:lang w:eastAsia="sv-SE"/>
        </w:rPr>
        <w:t>konstpedagogik</w:t>
      </w:r>
      <w:proofErr w:type="spellEnd"/>
      <w:r w:rsidRPr="00EB2235">
        <w:rPr>
          <w:rFonts w:ascii="Calibri" w:eastAsia="Times New Roman" w:hAnsi="Calibri" w:cs="Calibri"/>
          <w:color w:val="000000"/>
          <w:lang w:eastAsia="sv-SE"/>
        </w:rPr>
        <w:t xml:space="preserve"> och naturpedagogik är de mest centrala innehållsområdena som bör ingå i någon form varje dag. Leken får inte avfärdas med att barnen "får leka". Målet bör vara engagerande och tillfredsställande lek, som kräver mycket av bland annat att lek</w:t>
      </w:r>
      <w:r w:rsidRPr="00EB2235">
        <w:rPr>
          <w:rFonts w:ascii="Calibri" w:eastAsia="Times New Roman" w:hAnsi="Calibri" w:cs="Calibri"/>
          <w:color w:val="000000"/>
          <w:lang w:eastAsia="sv-SE"/>
        </w:rPr>
        <w:softHyphen/>
        <w:t xml:space="preserve">miljön byggs, underhålls och förnyas – och även tillräckligt med utrymme både inomhus och utomhus. Tidigare vårdades </w:t>
      </w:r>
      <w:proofErr w:type="spellStart"/>
      <w:r w:rsidRPr="00EB2235">
        <w:rPr>
          <w:rFonts w:ascii="Calibri" w:eastAsia="Times New Roman" w:hAnsi="Calibri" w:cs="Calibri"/>
          <w:color w:val="000000"/>
          <w:lang w:eastAsia="sv-SE"/>
        </w:rPr>
        <w:t>leklugn</w:t>
      </w:r>
      <w:proofErr w:type="spellEnd"/>
      <w:r w:rsidRPr="00EB2235">
        <w:rPr>
          <w:rFonts w:ascii="Calibri" w:eastAsia="Times New Roman" w:hAnsi="Calibri" w:cs="Calibri"/>
          <w:color w:val="000000"/>
          <w:lang w:eastAsia="sv-SE"/>
        </w:rPr>
        <w:t xml:space="preserve"> och även barnets möjlighet att ibland dra sig tillbaka i sin egen värld.</w:t>
      </w:r>
    </w:p>
    <w:p w14:paraId="240ABB3E"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Hur och var i en jättestor förskolas lokaler genomförs musikpedagogik, bildpedagogik och dramapedagogik? Var dansar man, var samlas man till morgonsamling kring ordkonst? Hur säkerställer man att varje barn får delta i meningsfulla aktiviteter varje dag?</w:t>
      </w:r>
    </w:p>
    <w:p w14:paraId="4ABE056D"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Att bygga barnens relation till naturen är en av förskoleverksamhetens viktigaste uppgifter, och vägen från naturkontakt till naturrelation bör gå genom förskolans egen gård. Skogsutflykter och andra naturutflykter är en ovärderlig del av högkvalitativ förskoleverksamhet, men de ersätter inte den dagliga utevistelsen på förskolans egen "naturfyllda" gård.</w:t>
      </w:r>
    </w:p>
    <w:p w14:paraId="76E30082"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En traditionell gård med varierande växtlighet och markbeläggning klarar dock inte den massiva slitage som jättestora förskolor medför, medan asfalt och konstgräs samt andra plastbeläggningar redan från början är problematiska, både på grund av mikroplast och bristen på naturkontakt. Enligt forskning är en mångfaldig naturmiljö bra för utvecklingen av förskolebarns immunsystem.</w:t>
      </w:r>
    </w:p>
    <w:p w14:paraId="7D977A3A"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Även en jättestor förskolas gård bör locka barnen till mångsidig, långvarig och engagerande lek och rörelse. På trånga gårdar vistas barnen dock ute mindre än på rymliga, vilket leder till att barnen rör sig mindre – något som är en av de vanligaste och största bristerna i jättestora förskolor."</w:t>
      </w:r>
    </w:p>
    <w:p w14:paraId="3738FEC7"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Skalan på en jättestor förskola påverkar allt. Många av de problem som är inbyggda i dessa jättestora förskolor hotar både barnens och de vuxnas välbefinnande och försvårar genomförandet av högkvalitativ förskoleverksamhet. Tyvärr är det lika svårt att lösa dessa problem som att åtgärda problemen med ”öppna kontorsskolor”, vilket skulle kosta orimligt </w:t>
      </w:r>
      <w:r w:rsidRPr="00EB2235">
        <w:rPr>
          <w:rFonts w:ascii="Calibri" w:eastAsia="Times New Roman" w:hAnsi="Calibri" w:cs="Calibri"/>
          <w:color w:val="000000"/>
          <w:lang w:eastAsia="sv-SE"/>
        </w:rPr>
        <w:lastRenderedPageBreak/>
        <w:t>mycket. Den enda hållbara slutsatsen är att man inte ska bygga utrymmen för barn som inte tar hänsyn till deras behov.</w:t>
      </w:r>
    </w:p>
    <w:p w14:paraId="2092EDF0"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br/>
      </w:r>
      <w:r w:rsidRPr="00EB2235">
        <w:rPr>
          <w:rFonts w:ascii="Calibri" w:eastAsia="Times New Roman" w:hAnsi="Calibri" w:cs="Calibri"/>
          <w:b/>
          <w:bCs/>
          <w:color w:val="000000"/>
          <w:lang w:eastAsia="sv-SE"/>
        </w:rPr>
        <w:t>Argumenten för jättedaghem är svaga, motargumenten tunga</w:t>
      </w:r>
    </w:p>
    <w:p w14:paraId="3FBEDB44"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Som jag beskrivit ovan har det skett en övergång från att bygga hemlika, barns skala-anpassade daghem till att bygga institutionsliknande jättedaghem med fokus på flexibilitet, och vad detta medför för både vuxna och barn. I min bedömning utgår jag ifrån att alla saker har både för- och nackdelar. Med några få undantag stämmer detta. Jättedaghem är ett undantag. Som framgår av ovanstående text finns otaliga nackdelar, medan det är svårt att hitta fördelar. Den vanligaste positiva aspekten som nämns är effektiv personalanvändning, vilket innebär att personal kan flyttas mellan grupper inom daghemmet utan att behöva anlita externa vikarier. Men även detta argument faller när man vet att personal i större enheter är mindre engagerade än i små, frånvaron är högre och personalomsättningen större. Jättedaghemmen skapar alltså delvis själva de problem som man sedan hävdar är enklare att lösa än i mindre enheter där problemen är betydligt mindre.</w:t>
      </w:r>
    </w:p>
    <w:p w14:paraId="17EE99B2"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Ur barnens perspektiv löses dock inte problemet: även om vikarier kommer från daghemmet själv, är de inte ”bekanta vuxna”, eftersom barnen i ett daghem med 200–300 barn inte känner alla vuxna, och de vuxna känner heller inte alla barn. Dessutom minskar motivationen när personal måste flytta till en annan grupp och inte får arbeta med sina egna barn eller göra det de planerat. En annan fördel som ibland nämns är att personalens kompetens är bredare i ett jättedaghem än i små. Det antas exempelvis att en skicklig musikpedagogs kompetens sprider sig i hela daghemmet. Men även detta argument håller inte i praktiken: varje lärare och annan pedagogiskt ansvarig vuxen måste sköta sitt eget arbete och har därför inte, och ska inte heller ha, extra tid att sprida sin specialkunskap till andra.</w:t>
      </w:r>
    </w:p>
    <w:p w14:paraId="378AFAE9"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Naturligtvis skulle det vara en annan sak om jättedaghem kunde anställa extra förskollärare utan gruppansvar, men så är det inte. Trots att skillnaden mellan positiva och negativa aspekter är överväldigande, byggs det ändå fler och fler jättedaghem. Det är svårt att förstå varför. Ingen har påstått att tidigare daghemsbyggande på något sätt har varit till nackdel för barnens bästa eller försvårat det pedagogiska arbetet. Faktum är att det skulle kräva enorm arrogans att hävda att byggandet av daghem anpassade till barns behov och utvecklingsstadier varit ett misstag, som endast kan rättas till genom att riva de gamla daghemmen och bygga massiva jättedaghem.</w:t>
      </w:r>
    </w:p>
    <w:p w14:paraId="69C88DCA"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En bättre lösning än att tänka sig in i en återvändsgränd är att fråga sig vad som är den ideala storleken för ett daghem. I Norge beställde Kunskapsdepartementet en omfattande studie för att undersöka strukturella faktorer, storlek och kvalitet på gruppbaserade och gruppfria daghemsverksamheter. I samband med diskussionen om jättedaghem är det mest intressanta att forskningsgruppen anser att ett daghem med 60 barn är idealiskt. Där, menar de, är det möjligt att kombinera fördelarna med både små och större daghem. I dessa daghem kan man erbjuda barn en förutsägbar och trygg miljö och samtidigt säkerställa personalens professionella utveckling. </w:t>
      </w:r>
    </w:p>
    <w:p w14:paraId="4DF473B8"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lastRenderedPageBreak/>
        <w:t>Även i Finland skulle det finnas behov av en liknande studie, även om slutsatserna är klara utan tung och långsam akademisk forskning. Redan nu har vi tillräckligt med, om inte för mycket, erfarenhet av de skadliga effekterna av jättedaghem på både barn och personal och indirekt även på barnens familjer.</w:t>
      </w:r>
    </w:p>
    <w:p w14:paraId="360844EB"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Det är också logiskt och realistiskt att förutse att vi i framtiden kommer att få betala en stor kostnad för jättedaghemsexperimentet, vars onödiga belastning och stress med tiden kommer att synas i ökat illamående och psykiska problem hos ungdomar. De som lider mest av en barndom på jättedaghem är naturligtvis de barn som är känsliga för sinnesintryck och andra barn med särskilda behov, som det är omöjligt att skydda från den oändliga mängden stimuli på jättedaghem.</w:t>
      </w:r>
      <w:r w:rsidRPr="00EB2235">
        <w:rPr>
          <w:rFonts w:ascii="Calibri" w:eastAsia="Times New Roman" w:hAnsi="Calibri" w:cs="Calibri"/>
          <w:color w:val="000000"/>
          <w:lang w:eastAsia="sv-SE"/>
        </w:rPr>
        <w:br/>
      </w:r>
      <w:r w:rsidRPr="00EB2235">
        <w:rPr>
          <w:rFonts w:ascii="Calibri" w:eastAsia="Times New Roman" w:hAnsi="Calibri" w:cs="Calibri"/>
          <w:color w:val="000000"/>
          <w:lang w:eastAsia="sv-SE"/>
        </w:rPr>
        <w:br/>
      </w:r>
    </w:p>
    <w:p w14:paraId="7648B480" w14:textId="77777777" w:rsidR="00EB2235" w:rsidRPr="00EB2235" w:rsidRDefault="00EB2235" w:rsidP="00EB2235">
      <w:pPr>
        <w:spacing w:before="240" w:after="240"/>
        <w:outlineLvl w:val="2"/>
        <w:rPr>
          <w:rFonts w:ascii="Times New Roman" w:eastAsia="Times New Roman" w:hAnsi="Times New Roman" w:cs="Times New Roman"/>
          <w:b/>
          <w:bCs/>
          <w:sz w:val="27"/>
          <w:szCs w:val="27"/>
          <w:lang w:eastAsia="sv-SE"/>
        </w:rPr>
      </w:pPr>
      <w:r w:rsidRPr="00EB2235">
        <w:rPr>
          <w:rFonts w:ascii="Calibri" w:eastAsia="Times New Roman" w:hAnsi="Calibri" w:cs="Calibri"/>
          <w:b/>
          <w:bCs/>
          <w:color w:val="000000"/>
          <w:lang w:eastAsia="sv-SE"/>
        </w:rPr>
        <w:t>Helsingfors</w:t>
      </w:r>
    </w:p>
    <w:p w14:paraId="5E417721"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I Helsingfors byggs jättedaghem i snabb takt, utan officiellt beslut. ”Den nuvarande situationen är att politikerna fattar beslut en och en om att grunda nya daghem och stänga gamla, baserat på tjänstemännens förslag.”  Enligt projektledaren Hanna </w:t>
      </w:r>
      <w:proofErr w:type="spellStart"/>
      <w:r w:rsidRPr="00EB2235">
        <w:rPr>
          <w:rFonts w:ascii="Calibri" w:eastAsia="Times New Roman" w:hAnsi="Calibri" w:cs="Calibri"/>
          <w:color w:val="000000"/>
          <w:lang w:eastAsia="sv-SE"/>
        </w:rPr>
        <w:t>Lehtiniemi</w:t>
      </w:r>
      <w:proofErr w:type="spellEnd"/>
      <w:r w:rsidRPr="00EB2235">
        <w:rPr>
          <w:rFonts w:ascii="Calibri" w:eastAsia="Times New Roman" w:hAnsi="Calibri" w:cs="Calibri"/>
          <w:color w:val="000000"/>
          <w:lang w:eastAsia="sv-SE"/>
        </w:rPr>
        <w:t xml:space="preserve"> är alla hennes daghemsprojekt daghem för över 200 barn, förutom ett där tomten inte på något sätt tillåter lokaler för mer än 140 barn. </w:t>
      </w:r>
    </w:p>
    <w:p w14:paraId="108404BC"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Daghemmets inomhuslokaler: Gruppstorleken är utan tvekan ett av de viktigaste kvalitetskriterierna inom småbarnspedagogiken, och barngruppen har traditionellt varit utgångspunkten för planeringen av lokaler. Helsingfors planerar dock inte daghem utifrån barngrupper, och i stadens </w:t>
      </w:r>
      <w:r w:rsidRPr="00EB2235">
        <w:rPr>
          <w:rFonts w:ascii="Calibri" w:eastAsia="Times New Roman" w:hAnsi="Calibri" w:cs="Calibri"/>
          <w:i/>
          <w:iCs/>
          <w:color w:val="000000"/>
          <w:lang w:eastAsia="sv-SE"/>
        </w:rPr>
        <w:t>Daghemmets handbok</w:t>
      </w:r>
      <w:r w:rsidRPr="00EB2235">
        <w:rPr>
          <w:rFonts w:ascii="Calibri" w:eastAsia="Times New Roman" w:hAnsi="Calibri" w:cs="Calibri"/>
          <w:color w:val="000000"/>
          <w:lang w:eastAsia="sv-SE"/>
        </w:rPr>
        <w:t xml:space="preserve"> undviker man till och med att tala om barngrupper.</w:t>
      </w:r>
    </w:p>
    <w:p w14:paraId="33B6484F"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Verksamhetsområde: När storleken växer har även principerna för fördelningen av lokaler förändrats, från hemområden för enskilda grupper till verksamhetsområden som delas av flera grupper. Måltider och vilostunder har delvis flyttats från gruppspecifika hemområden till matsalar och vilorum som delas av flera grupper.</w:t>
      </w:r>
    </w:p>
    <w:p w14:paraId="7300D863"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Det är alltså tydligt att Helsingfors stad förbereder sig för en framtid där små daghem blir undantag. Men hur motiveras det? Enligt </w:t>
      </w:r>
      <w:proofErr w:type="spellStart"/>
      <w:r w:rsidRPr="00EB2235">
        <w:rPr>
          <w:rFonts w:ascii="Calibri" w:eastAsia="Times New Roman" w:hAnsi="Calibri" w:cs="Calibri"/>
          <w:color w:val="000000"/>
          <w:lang w:eastAsia="sv-SE"/>
        </w:rPr>
        <w:t>Lehtiniemi</w:t>
      </w:r>
      <w:proofErr w:type="spellEnd"/>
      <w:r w:rsidRPr="00EB2235">
        <w:rPr>
          <w:rFonts w:ascii="Calibri" w:eastAsia="Times New Roman" w:hAnsi="Calibri" w:cs="Calibri"/>
          <w:color w:val="000000"/>
          <w:lang w:eastAsia="sv-SE"/>
        </w:rPr>
        <w:t xml:space="preserve"> är stora daghem det enda sättet att tillgodose efterfrågan och säkerställa kontinuiteten i den pedagogiska verksamheten.</w:t>
      </w:r>
    </w:p>
    <w:p w14:paraId="027A3811"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Frånvaron av ett officiellt beslut om en övergång till jättedaghem är en viktig punkt i sammanhanget. Helsingfors stad förbereder sig för framtiden utan att staden uttryckligen tagit ställning till om det är lämpligt eller inte. Det har inte heller gjorts någon offentlig utredning av hur gigantiska enheter påverkar barn, personal eller familjer. Det enda offentliga argumentet har varit att det är svårt att hitta lokaler, så därför är större daghem nödvändiga.</w:t>
      </w:r>
    </w:p>
    <w:p w14:paraId="25C59F72"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Fram till februari 2024 har den nationella vägledningen för planeringen av lokaler baserats på RT-kortet </w:t>
      </w:r>
      <w:proofErr w:type="gramStart"/>
      <w:r w:rsidRPr="00EB2235">
        <w:rPr>
          <w:rFonts w:ascii="Calibri" w:eastAsia="Times New Roman" w:hAnsi="Calibri" w:cs="Calibri"/>
          <w:color w:val="000000"/>
          <w:lang w:eastAsia="sv-SE"/>
        </w:rPr>
        <w:t>103083</w:t>
      </w:r>
      <w:proofErr w:type="gramEnd"/>
      <w:r w:rsidRPr="00EB2235">
        <w:rPr>
          <w:rFonts w:ascii="Calibri" w:eastAsia="Times New Roman" w:hAnsi="Calibri" w:cs="Calibri"/>
          <w:color w:val="000000"/>
          <w:lang w:eastAsia="sv-SE"/>
        </w:rPr>
        <w:t xml:space="preserve">, som styr utformningen av ett eget verksamhetsområde för varje barngrupp. </w:t>
      </w:r>
      <w:r w:rsidRPr="00EB2235">
        <w:rPr>
          <w:rFonts w:ascii="Calibri" w:eastAsia="Times New Roman" w:hAnsi="Calibri" w:cs="Calibri"/>
          <w:color w:val="000000"/>
          <w:lang w:eastAsia="sv-SE"/>
        </w:rPr>
        <w:lastRenderedPageBreak/>
        <w:t>Gruppens storlek bestäms i sin tur av de maximala gruppstorlekar som fastställs i lagen om småbarnspedagogik och i förordningen.</w:t>
      </w:r>
    </w:p>
    <w:p w14:paraId="2982A5E5"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I "Daghemmets handbok" anges däremot att i Helsingfors är verksamhetsområdet för ett planerat daghem den grundläggande enheten, som dimensioneras och planeras för 30 platser. Eftersom lagen och förordningen inte tillåter att en grupp består av trettio barn, styr handboken därmed planeringen av ett gemensamt verksamhetsområde för flera grupper.</w:t>
      </w:r>
    </w:p>
    <w:p w14:paraId="142305A1"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Helsingfors planeringspraxis är på många sätt problematisk. I lagen om småbarnspedagogik anges att "i en daghemsgrupp får det samtidigt vara högst så många barn närvarande som motsvarar antalet personer som är verksamma inom småbarnspedagogiken enligt moment 1", vilket förenklat innebär ett förhållande på 1:7 för barn över tre år (28 barn) och 1:4 för barn under tre år (12 barn). För att uppfylla detta krav krävs oändliga överenskommelser och kompromisser inom verksamhetsområdet, där 30 barn använder samma lokaler dagligen.</w:t>
      </w:r>
    </w:p>
    <w:p w14:paraId="1E9BB740"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Utbildningsutskottet uppmärksammar att Helsingfors använder en dimensioneringsmetod som kringgår lagen om </w:t>
      </w:r>
      <w:proofErr w:type="spellStart"/>
      <w:r w:rsidRPr="00EB2235">
        <w:rPr>
          <w:rFonts w:ascii="Calibri" w:eastAsia="Times New Roman" w:hAnsi="Calibri" w:cs="Calibri"/>
          <w:color w:val="000000"/>
          <w:lang w:eastAsia="sv-SE"/>
        </w:rPr>
        <w:t>småbarnspedagogiketänkande</w:t>
      </w:r>
      <w:proofErr w:type="spellEnd"/>
      <w:r w:rsidRPr="00EB2235">
        <w:rPr>
          <w:rFonts w:ascii="Calibri" w:eastAsia="Times New Roman" w:hAnsi="Calibri" w:cs="Calibri"/>
          <w:color w:val="000000"/>
          <w:lang w:eastAsia="sv-SE"/>
        </w:rPr>
        <w:t xml:space="preserve"> påpekar utskottet problemet att "två formellt separata barngrupper i praktiken fungerar som en grupp med stegvis indelning i vardagen" och konstaterar att detta "inte är i enlighet med lagstiftarens avsikt". Vidare betonar utbildningsutskottet att det är viktigt att sådana lokala förfaranden rapporteras till tillsynsmyndigheten, för att säkerställa att arrangörer och tjänsteleverantörer av småbarnspedagogik inte tolkar lagen på ett sätt som äventyrar uppfyllandet av målen för småbarnspedagogiken och barnens trygga </w:t>
      </w:r>
      <w:proofErr w:type="gramStart"/>
      <w:r w:rsidRPr="00EB2235">
        <w:rPr>
          <w:rFonts w:ascii="Calibri" w:eastAsia="Times New Roman" w:hAnsi="Calibri" w:cs="Calibri"/>
          <w:color w:val="000000"/>
          <w:lang w:eastAsia="sv-SE"/>
        </w:rPr>
        <w:t>vardag .</w:t>
      </w:r>
      <w:proofErr w:type="gramEnd"/>
    </w:p>
    <w:p w14:paraId="56D1C9D9"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Man </w:t>
      </w:r>
      <w:proofErr w:type="spellStart"/>
      <w:r w:rsidRPr="00EB2235">
        <w:rPr>
          <w:rFonts w:ascii="Calibri" w:eastAsia="Times New Roman" w:hAnsi="Calibri" w:cs="Calibri"/>
          <w:color w:val="000000"/>
          <w:lang w:eastAsia="sv-SE"/>
        </w:rPr>
        <w:t>kaa</w:t>
      </w:r>
      <w:proofErr w:type="spellEnd"/>
      <w:r w:rsidRPr="00EB2235">
        <w:rPr>
          <w:rFonts w:ascii="Calibri" w:eastAsia="Times New Roman" w:hAnsi="Calibri" w:cs="Calibri"/>
          <w:color w:val="000000"/>
          <w:lang w:eastAsia="sv-SE"/>
        </w:rPr>
        <w:t xml:space="preserve"> att Helsingfors planering, som bygger på 30 platser, "äventyrar uppfyllandet av målen för småbarnspedagogiken och barnens trygga vardag". Det handlar i praktiken om en grupp på 30 (28) barn som använder samma lokaler, eller att "flera barngrupper använder verksamhetsområdet samtidigt</w:t>
      </w:r>
      <w:proofErr w:type="gramStart"/>
      <w:r w:rsidRPr="00EB2235">
        <w:rPr>
          <w:rFonts w:ascii="Calibri" w:eastAsia="Times New Roman" w:hAnsi="Calibri" w:cs="Calibri"/>
          <w:color w:val="000000"/>
          <w:lang w:eastAsia="sv-SE"/>
        </w:rPr>
        <w:t>" .</w:t>
      </w:r>
      <w:proofErr w:type="gramEnd"/>
      <w:r w:rsidRPr="00EB2235">
        <w:rPr>
          <w:rFonts w:ascii="Calibri" w:eastAsia="Times New Roman" w:hAnsi="Calibri" w:cs="Calibri"/>
          <w:color w:val="000000"/>
          <w:lang w:eastAsia="sv-SE"/>
        </w:rPr>
        <w:t xml:space="preserve"> Barnen behöver do och bekant miljö som ger tillräcklig känsla av kontinuitet och rutiner, vilket innebär att varje barngrupp bör ha vissa lokaler som de kan uppfatta som sina </w:t>
      </w:r>
      <w:proofErr w:type="gramStart"/>
      <w:r w:rsidRPr="00EB2235">
        <w:rPr>
          <w:rFonts w:ascii="Calibri" w:eastAsia="Times New Roman" w:hAnsi="Calibri" w:cs="Calibri"/>
          <w:color w:val="000000"/>
          <w:lang w:eastAsia="sv-SE"/>
        </w:rPr>
        <w:t>egna .</w:t>
      </w:r>
      <w:proofErr w:type="gramEnd"/>
    </w:p>
    <w:p w14:paraId="49395B21"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Utrymme per barn.</w:t>
      </w:r>
      <w:r w:rsidRPr="00EB2235">
        <w:rPr>
          <w:rFonts w:ascii="Calibri" w:eastAsia="Times New Roman" w:hAnsi="Calibri" w:cs="Calibri"/>
          <w:color w:val="000000"/>
          <w:lang w:eastAsia="sv-SE"/>
        </w:rPr>
        <w:t xml:space="preserve"> År 2014 beslutade Helsingfors stadsfullmäktige att minska det tidigare utrymmeskravet per barn inom småbarnspedagogiken med en kvadratmeter per barn i nya lokaler och i befintliga lokaler där det är funktionellt möjligt. De "saknade kvadratmetrarna" illustrerar förändringens omedelbara och påtagliga påverkan på barnen: för en grupp på 28 barn – eller ett verksamhetsområde med 30 platser – saknas cirka 30 kvadratmeter, och för en förskola med 200 barn saknas 200 kvadratmeter. Detta påverkar både upplevelsen av utrymmet och vad som kan göras i de tillgängliga lokalerna.</w:t>
      </w:r>
    </w:p>
    <w:p w14:paraId="3869DDE6"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Även utomhus avviker Helsingfors mål, 15 m²/barn, från den nationella RT-kortets mål på 20 m²/barn. I praktiken kompromissar Helsingfors ofta avsevärt med detta mål; till exempel på förskolan </w:t>
      </w:r>
      <w:proofErr w:type="spellStart"/>
      <w:r w:rsidRPr="00EB2235">
        <w:rPr>
          <w:rFonts w:ascii="Calibri" w:eastAsia="Times New Roman" w:hAnsi="Calibri" w:cs="Calibri"/>
          <w:color w:val="000000"/>
          <w:lang w:eastAsia="sv-SE"/>
        </w:rPr>
        <w:t>Elkans</w:t>
      </w:r>
      <w:proofErr w:type="spellEnd"/>
      <w:r w:rsidRPr="00EB2235">
        <w:rPr>
          <w:rFonts w:ascii="Calibri" w:eastAsia="Times New Roman" w:hAnsi="Calibri" w:cs="Calibri"/>
          <w:color w:val="000000"/>
          <w:lang w:eastAsia="sv-SE"/>
        </w:rPr>
        <w:t xml:space="preserve"> och förskolan </w:t>
      </w:r>
      <w:proofErr w:type="spellStart"/>
      <w:r w:rsidRPr="00EB2235">
        <w:rPr>
          <w:rFonts w:ascii="Calibri" w:eastAsia="Times New Roman" w:hAnsi="Calibri" w:cs="Calibri"/>
          <w:color w:val="000000"/>
          <w:lang w:eastAsia="sv-SE"/>
        </w:rPr>
        <w:t>Kasarmis</w:t>
      </w:r>
      <w:proofErr w:type="spellEnd"/>
      <w:r w:rsidRPr="00EB2235">
        <w:rPr>
          <w:rFonts w:ascii="Calibri" w:eastAsia="Times New Roman" w:hAnsi="Calibri" w:cs="Calibri"/>
          <w:color w:val="000000"/>
          <w:lang w:eastAsia="sv-SE"/>
        </w:rPr>
        <w:t xml:space="preserve"> lekplatser är ytan per barn snarare fem än femton kvadratmeter per barn.</w:t>
      </w:r>
    </w:p>
    <w:p w14:paraId="5072A362"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lastRenderedPageBreak/>
        <w:t>I förskolans handbok motiveras varken beslutet att bilda större barngrupper än vad lagen om småbarnspedagogik föreskriver eller att ha mindre ytor per barn inomhus än vad RT-kortet rekommenderar. Det förklaras inte heller varför man nöjer sig med mindre gårdsytor än vad RT-kortet rekommenderar.</w:t>
      </w:r>
    </w:p>
    <w:p w14:paraId="58F2D6D8"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Separata gemensamma utrymmen.</w:t>
      </w:r>
      <w:r w:rsidRPr="00EB2235">
        <w:rPr>
          <w:rFonts w:ascii="Calibri" w:eastAsia="Times New Roman" w:hAnsi="Calibri" w:cs="Calibri"/>
          <w:color w:val="000000"/>
          <w:lang w:eastAsia="sv-SE"/>
        </w:rPr>
        <w:t xml:space="preserve"> Liksom många andra kommuner strävar Helsingfors efter att utforma förskolelokaler så att de är flexibla och kan anpassas för exempelvis fritidsaktiviteter på kvällarna. Eftersom inte alla lokaler kan erbjudas för kvällsanvändning, byggs även särskilda gemensamma utrymmen för detta ändamål. Problemet är att byggnadens totala yta inte ökar, trots att vissa delar av den avskiljs för kvällsanvändning.</w:t>
      </w:r>
    </w:p>
    <w:p w14:paraId="7728FA0D"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Gemensamma utrymmen.</w:t>
      </w:r>
      <w:r w:rsidRPr="00EB2235">
        <w:rPr>
          <w:rFonts w:ascii="Calibri" w:eastAsia="Times New Roman" w:hAnsi="Calibri" w:cs="Calibri"/>
          <w:color w:val="000000"/>
          <w:lang w:eastAsia="sv-SE"/>
        </w:rPr>
        <w:t xml:space="preserve"> Detta innebär att de redan trånga utrymmen som är avsedda för barngruppernas eget bruk blir ännu mindre. Helsingfors lösningar vad gäller utrymmen går helt emot barnens bästa, trots att lagen om småbarnspedagogik föreskriver att barnets bästa ska vara en prioritet vid planering, organisering och genomförande av småbarnspedagogiken. Helsingfors måste omedelbart ändra sitt sätt att planera verksamhetsområden så att det överensstämmer med den metod som lagen om småbarnspedagogik avser för att utforma utrymmen för ”tre vuxna grupper” och även justera barnspecifika utrymmeskrav i enlighet med RT-kortets riktlinjer.</w:t>
      </w:r>
    </w:p>
    <w:p w14:paraId="7A0DBFE7"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Bedömning av barnets bästa.</w:t>
      </w:r>
      <w:r w:rsidRPr="00EB2235">
        <w:rPr>
          <w:rFonts w:ascii="Calibri" w:eastAsia="Times New Roman" w:hAnsi="Calibri" w:cs="Calibri"/>
          <w:color w:val="000000"/>
          <w:lang w:eastAsia="sv-SE"/>
        </w:rPr>
        <w:t xml:space="preserve"> I Helsingfors är det upp till utbildnings- och fostringssektorn att göra bedömningar av barnets bästa. De bedömningar jag har sett i samband med </w:t>
      </w:r>
      <w:proofErr w:type="spellStart"/>
      <w:r w:rsidRPr="00EB2235">
        <w:rPr>
          <w:rFonts w:ascii="Calibri" w:eastAsia="Times New Roman" w:hAnsi="Calibri" w:cs="Calibri"/>
          <w:color w:val="000000"/>
          <w:lang w:eastAsia="sv-SE"/>
        </w:rPr>
        <w:t>förskolebyggande</w:t>
      </w:r>
      <w:proofErr w:type="spellEnd"/>
      <w:r w:rsidRPr="00EB2235">
        <w:rPr>
          <w:rFonts w:ascii="Calibri" w:eastAsia="Times New Roman" w:hAnsi="Calibri" w:cs="Calibri"/>
          <w:color w:val="000000"/>
          <w:lang w:eastAsia="sv-SE"/>
        </w:rPr>
        <w:t xml:space="preserve"> har varit alltför ytliga, mestadels kvitteringar av att miljön är säker och hälsosam. Bedömningarna av barnets bästa måste bli mer detaljerade och ambitiösa. Till exempel är det oklart vad termerna ”säker” och ”hälsosam” innebär i detta sammanhang. Kriterierna för hälsa verkar vara alltför slappa, som i fallet med det 300-barnsförskolan i </w:t>
      </w:r>
      <w:proofErr w:type="spellStart"/>
      <w:r w:rsidRPr="00EB2235">
        <w:rPr>
          <w:rFonts w:ascii="Calibri" w:eastAsia="Times New Roman" w:hAnsi="Calibri" w:cs="Calibri"/>
          <w:color w:val="000000"/>
          <w:lang w:eastAsia="sv-SE"/>
        </w:rPr>
        <w:t>Jätkäsaari</w:t>
      </w:r>
      <w:proofErr w:type="spellEnd"/>
      <w:r w:rsidRPr="00EB2235">
        <w:rPr>
          <w:rFonts w:ascii="Calibri" w:eastAsia="Times New Roman" w:hAnsi="Calibri" w:cs="Calibri"/>
          <w:color w:val="000000"/>
          <w:lang w:eastAsia="sv-SE"/>
        </w:rPr>
        <w:t>, där det inte ens växer ett strå på gården och där det sannolikt finns betydande brister i hjärnergonomin.</w:t>
      </w:r>
    </w:p>
    <w:p w14:paraId="7C87F26E"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 xml:space="preserve">Förskolan </w:t>
      </w:r>
      <w:proofErr w:type="spellStart"/>
      <w:r w:rsidRPr="00EB2235">
        <w:rPr>
          <w:rFonts w:ascii="Calibri" w:eastAsia="Times New Roman" w:hAnsi="Calibri" w:cs="Calibri"/>
          <w:b/>
          <w:bCs/>
          <w:color w:val="000000"/>
          <w:lang w:eastAsia="sv-SE"/>
        </w:rPr>
        <w:t>Ensi</w:t>
      </w:r>
      <w:proofErr w:type="spellEnd"/>
      <w:r w:rsidRPr="00EB2235">
        <w:rPr>
          <w:rFonts w:ascii="Calibri" w:eastAsia="Times New Roman" w:hAnsi="Calibri" w:cs="Calibri"/>
          <w:b/>
          <w:bCs/>
          <w:color w:val="000000"/>
          <w:lang w:eastAsia="sv-SE"/>
        </w:rPr>
        <w:t xml:space="preserve"> </w:t>
      </w:r>
      <w:proofErr w:type="spellStart"/>
      <w:r w:rsidRPr="00EB2235">
        <w:rPr>
          <w:rFonts w:ascii="Calibri" w:eastAsia="Times New Roman" w:hAnsi="Calibri" w:cs="Calibri"/>
          <w:b/>
          <w:bCs/>
          <w:color w:val="000000"/>
          <w:lang w:eastAsia="sv-SE"/>
        </w:rPr>
        <w:t>linja</w:t>
      </w:r>
      <w:proofErr w:type="spellEnd"/>
      <w:r w:rsidRPr="00EB2235">
        <w:rPr>
          <w:rFonts w:ascii="Calibri" w:eastAsia="Times New Roman" w:hAnsi="Calibri" w:cs="Calibri"/>
          <w:b/>
          <w:bCs/>
          <w:color w:val="000000"/>
          <w:lang w:eastAsia="sv-SE"/>
        </w:rPr>
        <w:br/>
      </w:r>
      <w:r w:rsidRPr="00EB2235">
        <w:rPr>
          <w:rFonts w:ascii="Calibri" w:eastAsia="Times New Roman" w:hAnsi="Calibri" w:cs="Calibri"/>
          <w:color w:val="000000"/>
          <w:lang w:eastAsia="sv-SE"/>
        </w:rPr>
        <w:t xml:space="preserve">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är belägen i en skyddad byggnad som uppfördes 1898 och som fungerade som skola för blinda fram till 1972. Byggnaden håller på att omvandlas för </w:t>
      </w:r>
      <w:proofErr w:type="spellStart"/>
      <w:r w:rsidRPr="00EB2235">
        <w:rPr>
          <w:rFonts w:ascii="Calibri" w:eastAsia="Times New Roman" w:hAnsi="Calibri" w:cs="Calibri"/>
          <w:color w:val="000000"/>
          <w:lang w:eastAsia="sv-SE"/>
        </w:rPr>
        <w:t>förskolebruk</w:t>
      </w:r>
      <w:proofErr w:type="spellEnd"/>
      <w:r w:rsidRPr="00EB2235">
        <w:rPr>
          <w:rFonts w:ascii="Calibri" w:eastAsia="Times New Roman" w:hAnsi="Calibri" w:cs="Calibri"/>
          <w:color w:val="000000"/>
          <w:lang w:eastAsia="sv-SE"/>
        </w:rPr>
        <w:t xml:space="preserve"> och ska kunna rymma en förskola med 252 platser. Av dessa är 140 platser avsedda för finskspråkig småbarnspedagogik och 84 för svenskspråkig. Dessutom planeras 28 nya platser framöver. Det kommer att finnas cirka 50 vård- och uppfostringspersonal, beroende på barnens åldersfördelning.</w:t>
      </w:r>
    </w:p>
    <w:p w14:paraId="066C6D5C"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Byggnaden är kulturhistoriskt värdefull, men omvandlingen till en storskalig förskola medför flera problem. För det första borde inte denna förskola genomföras, då jättestora förskolor hotar barnens hjärnhälsa, överbelastar personalen och avsevärt försämrar möjligheten att erbjuda en kvalitativ småbarnspedagogik. För det andra kommer ”utrymmena att utformas enligt stadsövergripande </w:t>
      </w:r>
      <w:proofErr w:type="spellStart"/>
      <w:r w:rsidRPr="00EB2235">
        <w:rPr>
          <w:rFonts w:ascii="Calibri" w:eastAsia="Times New Roman" w:hAnsi="Calibri" w:cs="Calibri"/>
          <w:color w:val="000000"/>
          <w:lang w:eastAsia="sv-SE"/>
        </w:rPr>
        <w:t>dimensioneringsprinciper</w:t>
      </w:r>
      <w:proofErr w:type="spellEnd"/>
      <w:r w:rsidRPr="00EB2235">
        <w:rPr>
          <w:rFonts w:ascii="Calibri" w:eastAsia="Times New Roman" w:hAnsi="Calibri" w:cs="Calibri"/>
          <w:color w:val="000000"/>
          <w:lang w:eastAsia="sv-SE"/>
        </w:rPr>
        <w:t xml:space="preserve"> och planeringsanvisningar,” vilket innebär mindre utrymmen än de rekommendationer som anges i RT-kortet, både inomhus och utomhus. Dessutom kommer verksamhetsområdena att genomföras på ett sätt som inte motsvarar den metod för att utforma utrymmen för ”tre vuxnas grupper” som avses i lagen om </w:t>
      </w:r>
      <w:r w:rsidRPr="00EB2235">
        <w:rPr>
          <w:rFonts w:ascii="Calibri" w:eastAsia="Times New Roman" w:hAnsi="Calibri" w:cs="Calibri"/>
          <w:color w:val="000000"/>
          <w:lang w:eastAsia="sv-SE"/>
        </w:rPr>
        <w:lastRenderedPageBreak/>
        <w:t>småbarnspedagogik och dess förordningar.</w:t>
      </w:r>
      <w:r w:rsidRPr="00EB2235">
        <w:rPr>
          <w:rFonts w:ascii="Calibri" w:eastAsia="Times New Roman" w:hAnsi="Calibri" w:cs="Calibri"/>
          <w:color w:val="000000"/>
          <w:lang w:eastAsia="sv-SE"/>
        </w:rPr>
        <w:br/>
      </w:r>
      <w:r w:rsidRPr="00EB2235">
        <w:rPr>
          <w:rFonts w:ascii="Calibri" w:eastAsia="Times New Roman" w:hAnsi="Calibri" w:cs="Calibri"/>
          <w:color w:val="000000"/>
          <w:lang w:eastAsia="sv-SE"/>
        </w:rPr>
        <w:br/>
      </w:r>
    </w:p>
    <w:p w14:paraId="08AC1E98" w14:textId="77777777" w:rsidR="00EB2235" w:rsidRPr="00EB2235" w:rsidRDefault="00EB2235" w:rsidP="00EB2235">
      <w:pPr>
        <w:outlineLvl w:val="2"/>
        <w:rPr>
          <w:rFonts w:ascii="Times New Roman" w:eastAsia="Times New Roman" w:hAnsi="Times New Roman" w:cs="Times New Roman"/>
          <w:b/>
          <w:bCs/>
          <w:sz w:val="27"/>
          <w:szCs w:val="27"/>
          <w:lang w:eastAsia="sv-SE"/>
        </w:rPr>
      </w:pPr>
      <w:r w:rsidRPr="00EB2235">
        <w:rPr>
          <w:rFonts w:ascii="Calibri" w:eastAsia="Times New Roman" w:hAnsi="Calibri" w:cs="Calibri"/>
          <w:b/>
          <w:bCs/>
          <w:color w:val="000000"/>
          <w:lang w:eastAsia="sv-SE"/>
        </w:rPr>
        <w:t xml:space="preserve">För vem är förskolan </w:t>
      </w:r>
      <w:proofErr w:type="spellStart"/>
      <w:r w:rsidRPr="00EB2235">
        <w:rPr>
          <w:rFonts w:ascii="Calibri" w:eastAsia="Times New Roman" w:hAnsi="Calibri" w:cs="Calibri"/>
          <w:b/>
          <w:bCs/>
          <w:color w:val="000000"/>
          <w:lang w:eastAsia="sv-SE"/>
        </w:rPr>
        <w:t>Ensi</w:t>
      </w:r>
      <w:proofErr w:type="spellEnd"/>
      <w:r w:rsidRPr="00EB2235">
        <w:rPr>
          <w:rFonts w:ascii="Calibri" w:eastAsia="Times New Roman" w:hAnsi="Calibri" w:cs="Calibri"/>
          <w:b/>
          <w:bCs/>
          <w:color w:val="000000"/>
          <w:lang w:eastAsia="sv-SE"/>
        </w:rPr>
        <w:t xml:space="preserve"> </w:t>
      </w:r>
      <w:proofErr w:type="spellStart"/>
      <w:r w:rsidRPr="00EB2235">
        <w:rPr>
          <w:rFonts w:ascii="Calibri" w:eastAsia="Times New Roman" w:hAnsi="Calibri" w:cs="Calibri"/>
          <w:b/>
          <w:bCs/>
          <w:color w:val="000000"/>
          <w:lang w:eastAsia="sv-SE"/>
        </w:rPr>
        <w:t>linja</w:t>
      </w:r>
      <w:proofErr w:type="spellEnd"/>
      <w:r w:rsidRPr="00EB2235">
        <w:rPr>
          <w:rFonts w:ascii="Calibri" w:eastAsia="Times New Roman" w:hAnsi="Calibri" w:cs="Calibri"/>
          <w:b/>
          <w:bCs/>
          <w:color w:val="000000"/>
          <w:lang w:eastAsia="sv-SE"/>
        </w:rPr>
        <w:t xml:space="preserve"> tänkt att byggas?</w:t>
      </w:r>
    </w:p>
    <w:p w14:paraId="4E1E5B39" w14:textId="77777777" w:rsidR="00EB2235" w:rsidRPr="00EB2235" w:rsidRDefault="00EB2235" w:rsidP="00EB2235">
      <w:pPr>
        <w:rPr>
          <w:rFonts w:ascii="Times New Roman" w:eastAsia="Times New Roman" w:hAnsi="Times New Roman" w:cs="Times New Roman"/>
          <w:lang w:eastAsia="sv-SE"/>
        </w:rPr>
      </w:pPr>
      <w:r w:rsidRPr="00EB2235">
        <w:rPr>
          <w:rFonts w:ascii="Calibri" w:eastAsia="Times New Roman" w:hAnsi="Calibri" w:cs="Calibri"/>
          <w:color w:val="000000"/>
          <w:lang w:eastAsia="sv-SE"/>
        </w:rPr>
        <w:br/>
        <w:t xml:space="preserve">Enligt projektplanen förväntas antalet barn i åldrarna 1–6 år i området kring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öka med 196 barn fram till prognosperiodens slut år 2036, och ”förskolan behövs som en del av lösningen på det lokala behovet av service”. Det nuvarande behovet är dock konstlat. Förskolan </w:t>
      </w:r>
      <w:proofErr w:type="spellStart"/>
      <w:r w:rsidRPr="00EB2235">
        <w:rPr>
          <w:rFonts w:ascii="Calibri" w:eastAsia="Times New Roman" w:hAnsi="Calibri" w:cs="Calibri"/>
          <w:color w:val="000000"/>
          <w:lang w:eastAsia="sv-SE"/>
        </w:rPr>
        <w:t>Vironniemi</w:t>
      </w:r>
      <w:proofErr w:type="spellEnd"/>
      <w:r w:rsidRPr="00EB2235">
        <w:rPr>
          <w:rFonts w:ascii="Calibri" w:eastAsia="Times New Roman" w:hAnsi="Calibri" w:cs="Calibri"/>
          <w:color w:val="000000"/>
          <w:lang w:eastAsia="sv-SE"/>
        </w:rPr>
        <w:t xml:space="preserve"> behöver en tillfällig lokal, men annars är storskaliga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främst tänkt att fyllas med barn som behöver en ny förskoleplats eftersom staden lägger ner deras tidigare förskolor eller pressar privata förskolor att lägga ner sin verksamhet genom att inte förnya upphandlingar med staden.</w:t>
      </w:r>
    </w:p>
    <w:p w14:paraId="7D9E87C6" w14:textId="77777777" w:rsidR="00EB2235" w:rsidRPr="00EB2235" w:rsidRDefault="00EB2235" w:rsidP="00EB2235">
      <w:pPr>
        <w:rPr>
          <w:rFonts w:ascii="Times New Roman" w:eastAsia="Times New Roman" w:hAnsi="Times New Roman" w:cs="Times New Roman"/>
          <w:lang w:eastAsia="sv-SE"/>
        </w:rPr>
      </w:pPr>
    </w:p>
    <w:p w14:paraId="45CBB09D" w14:textId="77777777" w:rsidR="00EB2235" w:rsidRPr="00EB2235" w:rsidRDefault="00EB2235" w:rsidP="00EB2235">
      <w:pPr>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De privata svenskspråkiga förskolorna Brita Maria </w:t>
      </w:r>
      <w:proofErr w:type="spellStart"/>
      <w:r w:rsidRPr="00EB2235">
        <w:rPr>
          <w:rFonts w:ascii="Calibri" w:eastAsia="Times New Roman" w:hAnsi="Calibri" w:cs="Calibri"/>
          <w:color w:val="000000"/>
          <w:lang w:eastAsia="sv-SE"/>
        </w:rPr>
        <w:t>Renlund</w:t>
      </w:r>
      <w:proofErr w:type="spellEnd"/>
      <w:r w:rsidRPr="00EB2235">
        <w:rPr>
          <w:rFonts w:ascii="Calibri" w:eastAsia="Times New Roman" w:hAnsi="Calibri" w:cs="Calibri"/>
          <w:color w:val="000000"/>
          <w:lang w:eastAsia="sv-SE"/>
        </w:rPr>
        <w:t xml:space="preserve"> (BMR) och Anna är allt som småbarnspedagogiken strävar efter: de har en stabil, kompetent och motiverad personal, hemliknande miljöer i gamla trähus, egna gårdar, välmående barn och nöjda föräldrar. BMR och Anna erbjuder en rent svenskspråkig inlärningsmiljö, vilket är mycket viktigt för att lära, upprätthålla och stärka minoritetsspråket. För närvarande finns det totalt 70 platser i dessa förskolor.</w:t>
      </w:r>
    </w:p>
    <w:p w14:paraId="32435047" w14:textId="77777777" w:rsidR="00EB2235" w:rsidRPr="00EB2235" w:rsidRDefault="00EB2235" w:rsidP="00EB2235">
      <w:pPr>
        <w:rPr>
          <w:rFonts w:ascii="Times New Roman" w:eastAsia="Times New Roman" w:hAnsi="Times New Roman" w:cs="Times New Roman"/>
          <w:lang w:eastAsia="sv-SE"/>
        </w:rPr>
      </w:pPr>
    </w:p>
    <w:p w14:paraId="5B6B7415" w14:textId="77777777" w:rsidR="00EB2235" w:rsidRPr="00EB2235" w:rsidRDefault="00EB2235" w:rsidP="00EB2235">
      <w:pPr>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BMR och Anna är inte de enda enheterna där barn planeras att flyttas till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De representerar dock tydligt Helsingfors småbarnspedagogikpolitik, som inte på något sätt styrs av principen om barnets bästa. Det är ofattbart att så välfungerande enheter ska avvecklas och barnen flyttas till en storskalig förskola, där genomförandet av svenskspråkig småbarnspedagogik dessutom försvåras avsevärt. Finskan kommer att vara huvudspråket på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vilket innebär att barnen inte längre kan erbjudas en heltäckande svenskspråkig inlärningsmiljö under hela dagen.</w:t>
      </w:r>
    </w:p>
    <w:p w14:paraId="44511DA0" w14:textId="77777777" w:rsidR="00EB2235" w:rsidRPr="00EB2235" w:rsidRDefault="00EB2235" w:rsidP="00EB2235">
      <w:pPr>
        <w:rPr>
          <w:rFonts w:ascii="Times New Roman" w:eastAsia="Times New Roman" w:hAnsi="Times New Roman" w:cs="Times New Roman"/>
          <w:lang w:eastAsia="sv-SE"/>
        </w:rPr>
      </w:pPr>
    </w:p>
    <w:p w14:paraId="76EA4E5A"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 xml:space="preserve">Inlärningsmiljön på </w:t>
      </w:r>
      <w:proofErr w:type="spellStart"/>
      <w:r w:rsidRPr="00EB2235">
        <w:rPr>
          <w:rFonts w:ascii="Calibri" w:eastAsia="Times New Roman" w:hAnsi="Calibri" w:cs="Calibri"/>
          <w:b/>
          <w:bCs/>
          <w:color w:val="000000"/>
          <w:lang w:eastAsia="sv-SE"/>
        </w:rPr>
        <w:t>Ensi</w:t>
      </w:r>
      <w:proofErr w:type="spellEnd"/>
      <w:r w:rsidRPr="00EB2235">
        <w:rPr>
          <w:rFonts w:ascii="Calibri" w:eastAsia="Times New Roman" w:hAnsi="Calibri" w:cs="Calibri"/>
          <w:b/>
          <w:bCs/>
          <w:color w:val="000000"/>
          <w:lang w:eastAsia="sv-SE"/>
        </w:rPr>
        <w:t xml:space="preserve"> </w:t>
      </w:r>
      <w:proofErr w:type="spellStart"/>
      <w:r w:rsidRPr="00EB2235">
        <w:rPr>
          <w:rFonts w:ascii="Calibri" w:eastAsia="Times New Roman" w:hAnsi="Calibri" w:cs="Calibri"/>
          <w:b/>
          <w:bCs/>
          <w:color w:val="000000"/>
          <w:lang w:eastAsia="sv-SE"/>
        </w:rPr>
        <w:t>linja</w:t>
      </w:r>
      <w:proofErr w:type="spellEnd"/>
      <w:r w:rsidRPr="00EB2235">
        <w:rPr>
          <w:rFonts w:ascii="Calibri" w:eastAsia="Times New Roman" w:hAnsi="Calibri" w:cs="Calibri"/>
          <w:b/>
          <w:bCs/>
          <w:color w:val="000000"/>
          <w:lang w:eastAsia="sv-SE"/>
        </w:rPr>
        <w:br/>
      </w:r>
      <w:r w:rsidRPr="00EB2235">
        <w:rPr>
          <w:rFonts w:ascii="Calibri" w:eastAsia="Times New Roman" w:hAnsi="Calibri" w:cs="Calibri"/>
          <w:color w:val="000000"/>
          <w:lang w:eastAsia="sv-SE"/>
        </w:rPr>
        <w:t xml:space="preserve">Det är svårt och komplext att utvärdera inlärningsmiljöer mer noggrant. För att få mångsidig information om hur lokalerna används krävs, enligt Benjamin Cleveland och </w:t>
      </w:r>
      <w:proofErr w:type="spellStart"/>
      <w:r w:rsidRPr="00EB2235">
        <w:rPr>
          <w:rFonts w:ascii="Calibri" w:eastAsia="Times New Roman" w:hAnsi="Calibri" w:cs="Calibri"/>
          <w:color w:val="000000"/>
          <w:lang w:eastAsia="sv-SE"/>
        </w:rPr>
        <w:t>Kenn</w:t>
      </w:r>
      <w:proofErr w:type="spellEnd"/>
      <w:r w:rsidRPr="00EB2235">
        <w:rPr>
          <w:rFonts w:ascii="Calibri" w:eastAsia="Times New Roman" w:hAnsi="Calibri" w:cs="Calibri"/>
          <w:color w:val="000000"/>
          <w:lang w:eastAsia="sv-SE"/>
        </w:rPr>
        <w:t xml:space="preserve"> Fisher, att man använder och kombinerar flera metoder, såsom expert-walk-</w:t>
      </w:r>
      <w:proofErr w:type="spellStart"/>
      <w:r w:rsidRPr="00EB2235">
        <w:rPr>
          <w:rFonts w:ascii="Calibri" w:eastAsia="Times New Roman" w:hAnsi="Calibri" w:cs="Calibri"/>
          <w:color w:val="000000"/>
          <w:lang w:eastAsia="sv-SE"/>
        </w:rPr>
        <w:t>through</w:t>
      </w:r>
      <w:proofErr w:type="spellEnd"/>
      <w:r w:rsidRPr="00EB2235">
        <w:rPr>
          <w:rFonts w:ascii="Calibri" w:eastAsia="Times New Roman" w:hAnsi="Calibri" w:cs="Calibri"/>
          <w:color w:val="000000"/>
          <w:lang w:eastAsia="sv-SE"/>
        </w:rPr>
        <w:t>-genomgångar, strukturerade diskussionsintervjuer med användare, visuell datainsamling och systematisk observation av de fysiska spår användarna lämnar. Det är också viktigt att spåra förhållandet mellan planerarnas beslut och hur användarna faktiskt använder lokalerna, hur de upplever rummet osv.</w:t>
      </w:r>
    </w:p>
    <w:p w14:paraId="15CCBAA0"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Jag kan inte använda någon av dessa rekommenderade metoder när jag mer noggrant bedömer om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linjas</w:t>
      </w:r>
      <w:proofErr w:type="spellEnd"/>
      <w:r w:rsidRPr="00EB2235">
        <w:rPr>
          <w:rFonts w:ascii="Calibri" w:eastAsia="Times New Roman" w:hAnsi="Calibri" w:cs="Calibri"/>
          <w:color w:val="000000"/>
          <w:lang w:eastAsia="sv-SE"/>
        </w:rPr>
        <w:t xml:space="preserve"> lokaler är lämpliga som inlärningsmiljö för barn i förskoleålder. Mina egna observationer bygger på att jag tillsammans med Anna-Karin Grönroos har besökt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linjas</w:t>
      </w:r>
      <w:proofErr w:type="spellEnd"/>
      <w:r w:rsidRPr="00EB2235">
        <w:rPr>
          <w:rFonts w:ascii="Calibri" w:eastAsia="Times New Roman" w:hAnsi="Calibri" w:cs="Calibri"/>
          <w:color w:val="000000"/>
          <w:lang w:eastAsia="sv-SE"/>
        </w:rPr>
        <w:t xml:space="preserve"> gårdsområde och byggnaden utifrån, samt granskat byggnadsritningarna med vägledning av projektledaren Hanna </w:t>
      </w:r>
      <w:proofErr w:type="spellStart"/>
      <w:r w:rsidRPr="00EB2235">
        <w:rPr>
          <w:rFonts w:ascii="Calibri" w:eastAsia="Times New Roman" w:hAnsi="Calibri" w:cs="Calibri"/>
          <w:color w:val="000000"/>
          <w:lang w:eastAsia="sv-SE"/>
        </w:rPr>
        <w:t>Lehtiniemi</w:t>
      </w:r>
      <w:proofErr w:type="spellEnd"/>
      <w:r w:rsidRPr="00EB2235">
        <w:rPr>
          <w:rFonts w:ascii="Calibri" w:eastAsia="Times New Roman" w:hAnsi="Calibri" w:cs="Calibri"/>
          <w:color w:val="000000"/>
          <w:lang w:eastAsia="sv-SE"/>
        </w:rPr>
        <w:t xml:space="preserve">. Eftersom jag dessutom är väl förtrogen med Helsingfors riktlinjer för lokalplanering, är granskningsramen tydlig. Jag förlitar mig även på min egen </w:t>
      </w:r>
      <w:r w:rsidRPr="00EB2235">
        <w:rPr>
          <w:rFonts w:ascii="Calibri" w:eastAsia="Times New Roman" w:hAnsi="Calibri" w:cs="Calibri"/>
          <w:color w:val="000000"/>
          <w:lang w:eastAsia="sv-SE"/>
        </w:rPr>
        <w:lastRenderedPageBreak/>
        <w:t>expertis, som representerar en ackumulerad kompetens: jag tog examen som barnträdgårdslärare samma år som dagvårdslagen trädde i kraft 1973, jag har utbildat barnträdgårdslärare i flera decennier, disputerat om lekens förändring och bedrivit forskning i förskolor.</w:t>
      </w:r>
    </w:p>
    <w:p w14:paraId="6A203D33"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Den ”övergångsstress” som plågar alla storskaliga förskolor framträder särskilt tydligt på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Det är orealistiskt att föreställa sig att cirka fem hundra människor på morgonen, under en relativt kort tid, smidigt kan ta sig genom huvudentrén till den gemensamma hallen, som är anpassad för 250 barn. Därifrån ska de in i någon av de </w:t>
      </w:r>
      <w:proofErr w:type="spellStart"/>
      <w:r w:rsidRPr="00EB2235">
        <w:rPr>
          <w:rFonts w:ascii="Calibri" w:eastAsia="Times New Roman" w:hAnsi="Calibri" w:cs="Calibri"/>
          <w:color w:val="000000"/>
          <w:lang w:eastAsia="sv-SE"/>
        </w:rPr>
        <w:t>återvändsgarderober</w:t>
      </w:r>
      <w:proofErr w:type="spellEnd"/>
      <w:r w:rsidRPr="00EB2235">
        <w:rPr>
          <w:rFonts w:ascii="Calibri" w:eastAsia="Times New Roman" w:hAnsi="Calibri" w:cs="Calibri"/>
          <w:color w:val="000000"/>
          <w:lang w:eastAsia="sv-SE"/>
        </w:rPr>
        <w:t xml:space="preserve"> där barnens skor lämnas, återvända till hallen, ta barnet till sin egen krok och kanske vidare till "aktivitetsområdet" där dagen ska börja. Därefter kan föräldern, beroende på tidpunkten, ta sig ut genom mot- eller medströmsflödet. Hämtning sker under en längre period, men då ska barnen vara ute – eller åtminstone bör de vara det. 45</w:t>
      </w:r>
    </w:p>
    <w:p w14:paraId="71D8CCC1"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Av praktiska skäl är det bra att hämta barnen utomhus</w:t>
      </w:r>
      <w:r w:rsidRPr="00EB2235">
        <w:rPr>
          <w:rFonts w:ascii="Calibri" w:eastAsia="Times New Roman" w:hAnsi="Calibri" w:cs="Calibri"/>
          <w:color w:val="000000"/>
          <w:lang w:eastAsia="sv-SE"/>
        </w:rPr>
        <w:t>, vilket dock oundvikligen orsakar stressig trängsel på gården när det är alldeles för många barn och vuxna där samtidigt.</w:t>
      </w:r>
    </w:p>
    <w:p w14:paraId="2533F24A"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Naturligtvis gäller även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linjas</w:t>
      </w:r>
      <w:proofErr w:type="spellEnd"/>
      <w:r w:rsidRPr="00EB2235">
        <w:rPr>
          <w:rFonts w:ascii="Calibri" w:eastAsia="Times New Roman" w:hAnsi="Calibri" w:cs="Calibri"/>
          <w:color w:val="000000"/>
          <w:lang w:eastAsia="sv-SE"/>
        </w:rPr>
        <w:t xml:space="preserve"> gård målet i "Förskolans handbok" om 15 kvadratmeter per barnomsorgsplats, samt att "vid bedömningen av gårdens storlek beaktas rekreationsområden i närmiljön". I praktiken är det fortfarande omöjligt att bedöma gårdsområdets storlek eftersom detaljplanen ännu inte är färdig, och det är därför oklart om </w:t>
      </w:r>
      <w:proofErr w:type="spellStart"/>
      <w:r w:rsidRPr="00EB2235">
        <w:rPr>
          <w:rFonts w:ascii="Calibri" w:eastAsia="Times New Roman" w:hAnsi="Calibri" w:cs="Calibri"/>
          <w:color w:val="000000"/>
          <w:lang w:eastAsia="sv-SE"/>
        </w:rPr>
        <w:t>Ilolanlehto</w:t>
      </w:r>
      <w:proofErr w:type="spellEnd"/>
      <w:r w:rsidRPr="00EB2235">
        <w:rPr>
          <w:rFonts w:ascii="Calibri" w:eastAsia="Times New Roman" w:hAnsi="Calibri" w:cs="Calibri"/>
          <w:color w:val="000000"/>
          <w:lang w:eastAsia="sv-SE"/>
        </w:rPr>
        <w:t xml:space="preserve"> kommer att anslutas till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linjas</w:t>
      </w:r>
      <w:proofErr w:type="spellEnd"/>
      <w:r w:rsidRPr="00EB2235">
        <w:rPr>
          <w:rFonts w:ascii="Calibri" w:eastAsia="Times New Roman" w:hAnsi="Calibri" w:cs="Calibri"/>
          <w:color w:val="000000"/>
          <w:lang w:eastAsia="sv-SE"/>
        </w:rPr>
        <w:t xml:space="preserve"> lekplats eller inte. Med </w:t>
      </w:r>
      <w:proofErr w:type="spellStart"/>
      <w:r w:rsidRPr="00EB2235">
        <w:rPr>
          <w:rFonts w:ascii="Calibri" w:eastAsia="Times New Roman" w:hAnsi="Calibri" w:cs="Calibri"/>
          <w:color w:val="000000"/>
          <w:lang w:eastAsia="sv-SE"/>
        </w:rPr>
        <w:t>Ilolanlehto</w:t>
      </w:r>
      <w:proofErr w:type="spellEnd"/>
      <w:r w:rsidRPr="00EB2235">
        <w:rPr>
          <w:rFonts w:ascii="Calibri" w:eastAsia="Times New Roman" w:hAnsi="Calibri" w:cs="Calibri"/>
          <w:color w:val="000000"/>
          <w:lang w:eastAsia="sv-SE"/>
        </w:rPr>
        <w:t xml:space="preserve"> som del av gårdsområdet kommer barnen att ha cirka 13 kvadratmeter per barn, men utan skogsområdet endast cirka 5 kvadratmeter per barn.</w:t>
      </w:r>
    </w:p>
    <w:p w14:paraId="54E2C332"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Forskning visar att en mångsidig naturmiljö är bra för utvecklingen av förskolebarns immunsystem. Man måste dock fråga sig om exponeringen för naturens mikrober, som stödjer ett friskt försvarssystem, är tillräcklig på en gård täckt av asfalt och konstgräs. Mikroplast är naturligtvis ett eget problem, även om sandbaserat konstgräs är ett bättre alternativ än vissa andra konstgjorda ytor.</w:t>
      </w:r>
    </w:p>
    <w:p w14:paraId="1A67257D"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Rekreationsområden i närmiljön representeras sannolikt av lekparken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vars "beaktande" kanske verkar lösa det dagliga utomhusproblemet på planerarnas bord eller i tankarna hos stadens beslutsfattare. Ur användarens perspektiv avslöjas dock två stora problem. För det första är det en logistisk manöver att dagligen "flytta" exempelvis hundra barn för att leka utanför förskolans område, vilket kräver ytterligare noggrann tidssamordning för att överhuvudtaget lyckas. För det andra är lekparken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redan i dagsläget inte tom och väntande på att ta emot en mängd nya barn. Nya användare kommer att skapa trängsel och begränsa användningen av parkens erbjudanden. Dessutom skapar delat bruk av parken övervakningsproblem.</w:t>
      </w:r>
    </w:p>
    <w:p w14:paraId="0215FB77"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Att organisera måltider för ett par hundra barn i två öppna matsalar utrustade med serveringslinjer är också utmanande. När frukost, lunch och mellanmål serveras i två omgångar på förskolan krävs en strikt följsamhet till schemat, vilket förstör den tidsmässiga flexibilitet som är nödvändig i arbetet med små barn. Måltiderna blir till en prestation, långt ifrån den lugna och </w:t>
      </w:r>
      <w:r w:rsidRPr="00EB2235">
        <w:rPr>
          <w:rFonts w:ascii="Calibri" w:eastAsia="Times New Roman" w:hAnsi="Calibri" w:cs="Calibri"/>
          <w:color w:val="000000"/>
          <w:lang w:eastAsia="sv-SE"/>
        </w:rPr>
        <w:lastRenderedPageBreak/>
        <w:t>hemtrevliga "måltidspedagogiska stunden" som skulle kunna stärka gemenskapen. Övergången från lunch till vilostund blir svår att genomföra flexibelt när man inte kan skicka barnen ensamma till de flesta aktivitetsområden. När man dessutom måste gå upp och ner för trappor för att hantera dessa övergångar känns det som att en stor del av dagen ägnas åt att hantera förflyttningar.</w:t>
      </w:r>
    </w:p>
    <w:p w14:paraId="205CA98C"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Eftersom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linjas</w:t>
      </w:r>
      <w:proofErr w:type="spellEnd"/>
      <w:r w:rsidRPr="00EB2235">
        <w:rPr>
          <w:rFonts w:ascii="Calibri" w:eastAsia="Times New Roman" w:hAnsi="Calibri" w:cs="Calibri"/>
          <w:color w:val="000000"/>
          <w:lang w:eastAsia="sv-SE"/>
        </w:rPr>
        <w:t xml:space="preserve"> inomhuslokaler följer riktlinjerna i Förskolans handbok, är de "aktivitetsområden" som står till barnens förfogande så trånga att deras användning kräver att barnen turas om. Det är heller inte möjligt att skapa en lärmiljö som inbjuder till engagerad lek och andra aktiviteter, och som möjliggör en innehållsrik förskolepedagogik. För mer krävande aktiviteter måste man istället försöka boka de gemensamma verkstäderna. En viss tröst är den stora salen, särskilt om den kan användas på barnens villkor och inte på villkoren för kvällsanvändarna.</w:t>
      </w:r>
    </w:p>
    <w:p w14:paraId="1DE124E0"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Sammanfattningsvis skulle en hypotetisk expert-walk-</w:t>
      </w:r>
      <w:proofErr w:type="spellStart"/>
      <w:r w:rsidRPr="00EB2235">
        <w:rPr>
          <w:rFonts w:ascii="Calibri" w:eastAsia="Times New Roman" w:hAnsi="Calibri" w:cs="Calibri"/>
          <w:color w:val="000000"/>
          <w:lang w:eastAsia="sv-SE"/>
        </w:rPr>
        <w:t>through</w:t>
      </w:r>
      <w:proofErr w:type="spellEnd"/>
      <w:r w:rsidRPr="00EB2235">
        <w:rPr>
          <w:rFonts w:ascii="Calibri" w:eastAsia="Times New Roman" w:hAnsi="Calibri" w:cs="Calibri"/>
          <w:color w:val="000000"/>
          <w:lang w:eastAsia="sv-SE"/>
        </w:rPr>
        <w:t xml:space="preserve">-genomgång, med fokus på lokalerna, snarare trötta ut och väcka frågor än inspirera vid tanken på de nya lokalerna på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w:t>
      </w:r>
    </w:p>
    <w:p w14:paraId="615054A7"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Bedömning av barnets påverkan.</w:t>
      </w:r>
      <w:r w:rsidRPr="00EB2235">
        <w:rPr>
          <w:rFonts w:ascii="Calibri" w:eastAsia="Times New Roman" w:hAnsi="Calibri" w:cs="Calibri"/>
          <w:color w:val="000000"/>
          <w:lang w:eastAsia="sv-SE"/>
        </w:rPr>
        <w:t xml:space="preserve"> Bedömningen av barnets påverkan vid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har gjorts lika översiktligt som vid andra </w:t>
      </w:r>
      <w:proofErr w:type="spellStart"/>
      <w:r w:rsidRPr="00EB2235">
        <w:rPr>
          <w:rFonts w:ascii="Calibri" w:eastAsia="Times New Roman" w:hAnsi="Calibri" w:cs="Calibri"/>
          <w:color w:val="000000"/>
          <w:lang w:eastAsia="sv-SE"/>
        </w:rPr>
        <w:t>förskoleprojekt</w:t>
      </w:r>
      <w:proofErr w:type="spellEnd"/>
      <w:r w:rsidRPr="00EB2235">
        <w:rPr>
          <w:rFonts w:ascii="Calibri" w:eastAsia="Times New Roman" w:hAnsi="Calibri" w:cs="Calibri"/>
          <w:color w:val="000000"/>
          <w:lang w:eastAsia="sv-SE"/>
        </w:rPr>
        <w:t xml:space="preserve"> i Helsingfors, vilket innebär att den faktiska påverkan har blivit klart bristfälligt bedömd. Barnets påverkan måste prövas mot verkliga situationer, som kan rekonstrueras tillräckligt noggrant av en expert som även har insyn i förskoleverksamheten inifrån.</w:t>
      </w:r>
    </w:p>
    <w:p w14:paraId="61CC7C1C"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Baserat på det jag tidigare beskrivit är det tydligt att om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genomförs i den planerade omfattningen, kommer miljön att innehålla alla de belastningsfaktorer som är typiska för storförskolor byggda enligt Helsingfors ytmått. Ytterligare belastning tillkommer genom att förskoleverksamheten placeras i en trevåningsbyggnad, som ursprungligen var designad som skola.</w:t>
      </w:r>
    </w:p>
    <w:p w14:paraId="7CC21828"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Särskilt med tanke på hjärnergonomi anser jag att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inte uppfyller kriterierna för en hälsosam och säker miljö.</w:t>
      </w:r>
    </w:p>
    <w:p w14:paraId="3D25BC81"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Sammanfattningsvis anser jag att förskolan </w:t>
      </w:r>
      <w:proofErr w:type="spellStart"/>
      <w:r w:rsidRPr="00EB2235">
        <w:rPr>
          <w:rFonts w:ascii="Calibri" w:eastAsia="Times New Roman" w:hAnsi="Calibri" w:cs="Calibri"/>
          <w:color w:val="000000"/>
          <w:lang w:eastAsia="sv-SE"/>
        </w:rPr>
        <w:t>Ensi</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linja</w:t>
      </w:r>
      <w:proofErr w:type="spellEnd"/>
      <w:r w:rsidRPr="00EB2235">
        <w:rPr>
          <w:rFonts w:ascii="Calibri" w:eastAsia="Times New Roman" w:hAnsi="Calibri" w:cs="Calibri"/>
          <w:color w:val="000000"/>
          <w:lang w:eastAsia="sv-SE"/>
        </w:rPr>
        <w:t xml:space="preserve"> skulle kunna genomföras som en förskola med högst 100 barnomsorgsplatser. Detta skulle minska belastningen på både barn och personal tillräckligt mycket. Även gården tillsammans med </w:t>
      </w:r>
      <w:proofErr w:type="spellStart"/>
      <w:r w:rsidRPr="00EB2235">
        <w:rPr>
          <w:rFonts w:ascii="Calibri" w:eastAsia="Times New Roman" w:hAnsi="Calibri" w:cs="Calibri"/>
          <w:color w:val="000000"/>
          <w:lang w:eastAsia="sv-SE"/>
        </w:rPr>
        <w:t>Ilolanlehto</w:t>
      </w:r>
      <w:proofErr w:type="spellEnd"/>
      <w:r w:rsidRPr="00EB2235">
        <w:rPr>
          <w:rFonts w:ascii="Calibri" w:eastAsia="Times New Roman" w:hAnsi="Calibri" w:cs="Calibri"/>
          <w:color w:val="000000"/>
          <w:lang w:eastAsia="sv-SE"/>
        </w:rPr>
        <w:t xml:space="preserve"> skulle fungera bra för detta antal barn.</w:t>
      </w:r>
    </w:p>
    <w:p w14:paraId="6BBD7202"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Slutligen</w:t>
      </w:r>
      <w:r w:rsidRPr="00EB2235">
        <w:rPr>
          <w:rFonts w:ascii="Calibri" w:eastAsia="Times New Roman" w:hAnsi="Calibri" w:cs="Calibri"/>
          <w:b/>
          <w:bCs/>
          <w:color w:val="000000"/>
          <w:lang w:eastAsia="sv-SE"/>
        </w:rPr>
        <w:br/>
      </w:r>
      <w:r w:rsidRPr="00EB2235">
        <w:rPr>
          <w:rFonts w:ascii="Calibri" w:eastAsia="Times New Roman" w:hAnsi="Calibri" w:cs="Calibri"/>
          <w:color w:val="000000"/>
          <w:lang w:eastAsia="sv-SE"/>
        </w:rPr>
        <w:t>En förskola är en unik offentlig byggnad, eftersom dess primära användare är små barn. Därför borde dessa barn vara i fokus för all förskoleplanering. Det innebär att man måste lösa frågor som inte förekommer i andra offentliga byggnader. Ju mer seriöst man tar små barns behov och ju mer ambitiöst man närmar sig frågan om vad barnen borde få ut av sina dagar på förskolan, desto mer krävande blir det att bygga förskolor.</w:t>
      </w:r>
    </w:p>
    <w:p w14:paraId="5DCBAC10"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lastRenderedPageBreak/>
        <w:t xml:space="preserve">Bakom förändringen i dagens </w:t>
      </w:r>
      <w:proofErr w:type="spellStart"/>
      <w:r w:rsidRPr="00EB2235">
        <w:rPr>
          <w:rFonts w:ascii="Calibri" w:eastAsia="Times New Roman" w:hAnsi="Calibri" w:cs="Calibri"/>
          <w:color w:val="000000"/>
          <w:lang w:eastAsia="sv-SE"/>
        </w:rPr>
        <w:t>förskolebyggen</w:t>
      </w:r>
      <w:proofErr w:type="spellEnd"/>
      <w:r w:rsidRPr="00EB2235">
        <w:rPr>
          <w:rFonts w:ascii="Calibri" w:eastAsia="Times New Roman" w:hAnsi="Calibri" w:cs="Calibri"/>
          <w:color w:val="000000"/>
          <w:lang w:eastAsia="sv-SE"/>
        </w:rPr>
        <w:t xml:space="preserve"> verkar dock ligga en radikal attitydförändring. Tanken på förskolan som en plats för barn har fått ge vika, och därmed har man också övergett planeringen utifrån barnens perspektiv och behov. Tidigare pratade man om barns utvecklingsfaser och behov, men nu diskuteras övervakningsmöjligheter och flexibilitet i utrymmena.</w:t>
      </w:r>
    </w:p>
    <w:p w14:paraId="6994CD08"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Attitydförändringen syns tydligt och genomgående i storförskolor. Gårdarna är ofta "gråa" och alldeles för små, byggnaderna massiva, typiskt två- eller trevåningsbyggnader. Det finns få ingångar, vilket leder till att flera barngrupper klär av och på sig samtidigt i trånga tamburer. Stora matsalar har linjesystem för servering, och grupprummen är små och erbjuder få möjligheter till lek och annan aktivitet. I storförskolor finns möbler som från barnens perspektiv är som jättarnas stolar och bord.</w:t>
      </w:r>
    </w:p>
    <w:p w14:paraId="0C8AA957"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Helsingfors </w:t>
      </w:r>
      <w:proofErr w:type="spellStart"/>
      <w:r w:rsidRPr="00EB2235">
        <w:rPr>
          <w:rFonts w:ascii="Calibri" w:eastAsia="Times New Roman" w:hAnsi="Calibri" w:cs="Calibri"/>
          <w:color w:val="000000"/>
          <w:lang w:eastAsia="sv-SE"/>
        </w:rPr>
        <w:t>förskolehandbok</w:t>
      </w:r>
      <w:proofErr w:type="spellEnd"/>
      <w:r w:rsidRPr="00EB2235">
        <w:rPr>
          <w:rFonts w:ascii="Calibri" w:eastAsia="Times New Roman" w:hAnsi="Calibri" w:cs="Calibri"/>
          <w:color w:val="000000"/>
          <w:lang w:eastAsia="sv-SE"/>
        </w:rPr>
        <w:t xml:space="preserve"> deklarerar att "förskolan är en arbetsplats för de vuxna som arbetar där, och därför ska alla möbler designas och placeras utifrån de vuxnas ergonomiska krav". År 2010 framhöll dock RT-kortets version en annan sida av saken. Där påmindes om att möbler i rätt storlek uppmuntrar och möjliggör barnens självständiga och initiativrika agerande.</w:t>
      </w:r>
    </w:p>
    <w:p w14:paraId="3E8F24A1" w14:textId="77777777" w:rsidR="00EB2235" w:rsidRPr="00EB2235" w:rsidRDefault="00EB2235" w:rsidP="00EB2235">
      <w:pPr>
        <w:rPr>
          <w:rFonts w:ascii="Times New Roman" w:eastAsia="Times New Roman" w:hAnsi="Times New Roman" w:cs="Times New Roman"/>
          <w:lang w:eastAsia="sv-SE"/>
        </w:rPr>
      </w:pPr>
      <w:r w:rsidRPr="00EB2235">
        <w:rPr>
          <w:rFonts w:ascii="Calibri" w:eastAsia="Times New Roman" w:hAnsi="Calibri" w:cs="Calibri"/>
          <w:color w:val="000000"/>
          <w:lang w:eastAsia="sv-SE"/>
        </w:rPr>
        <w:t xml:space="preserve">I Sillanpääs forskning visade det sig att barnmöblernas betydelse inte bara handlade om praktiska aspekter, utan de var också meningsfulla för barnen själva och påverkade deras upplevelse av förskolan som en plats för barn. På 1980-talet skrev Raili och Reima Pietilä att barnens perspektiv var en viktig princip i designen av förskolan </w:t>
      </w:r>
      <w:proofErr w:type="spellStart"/>
      <w:r w:rsidRPr="00EB2235">
        <w:rPr>
          <w:rFonts w:ascii="Calibri" w:eastAsia="Times New Roman" w:hAnsi="Calibri" w:cs="Calibri"/>
          <w:color w:val="000000"/>
          <w:lang w:eastAsia="sv-SE"/>
        </w:rPr>
        <w:t>Taikurinhattu</w:t>
      </w:r>
      <w:proofErr w:type="spellEnd"/>
      <w:r w:rsidRPr="00EB2235">
        <w:rPr>
          <w:rFonts w:ascii="Calibri" w:eastAsia="Times New Roman" w:hAnsi="Calibri" w:cs="Calibri"/>
          <w:color w:val="000000"/>
          <w:lang w:eastAsia="sv-SE"/>
        </w:rPr>
        <w:t>. Pietiläs beskriver hur de under designprocessen försökte sätta sig in i barnens upplevelse genom att undersöka rummen från barnets ögonhöjd, vilket gav en helt annan upplevelse av utrymmena. För en vuxen kan ett rum vara rymligt med fina vyer, medan det för ett barn kan upplevas som en labyrint av bordsben, där fönstren bara visar himlen.</w:t>
      </w:r>
    </w:p>
    <w:p w14:paraId="147D0CE8"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Den normativa vuxensynen väger tyngre än den barnvänliga, pedagogiska synen även när det handlar om att betona städbarhet. "Skåpens ovansidor, ytor, golv och hörn bör hållas fria från onödiga föremål, skåp med dörrar bör föredras framför öppna hyllor, och antalet möbler bör hållas måttligt." Där jag har sett engagerade barn och långvarig lek och annan aktivitet, har jag också alltid sett mycket ”onödiga” saker – byggklossar, utklädningskläder, böcker, stafflier, tyg för kojor, vattenleksbassänger, med mera.</w:t>
      </w:r>
    </w:p>
    <w:p w14:paraId="1C64E0A6"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Problemet med fenomenet storförskolor handlar inte om brist på kunskap. Inte en enda storförskola hade behövt byggas om man i förväg noggrant analyserat vilka konsekvenser det får för barnen att tillbringa en stor del av sina viktigaste år i en institution med tvåhundra till trehundra barn.</w:t>
      </w:r>
    </w:p>
    <w:p w14:paraId="650AF4E7"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t>Varje beslut om att bygga en storförskola har krävt att man blundar och ser bort – att man väljer att inte använda den kunskap som finns och ignorerar konsekvenserna för barnen. I Helsingfors ligger ansvaret hos sektorn för fostran och utbildning, men även stadsmiljösektorn har möjlighet att delta i diskussionen och påverka besluten när det behövs. Det är stadshusets och stadsfullmäktiges skyldighet att veta vilka följder deras beslut får för barnen.</w:t>
      </w:r>
    </w:p>
    <w:p w14:paraId="70622F63"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color w:val="000000"/>
          <w:lang w:eastAsia="sv-SE"/>
        </w:rPr>
        <w:lastRenderedPageBreak/>
        <w:t>Det finns många allvarliga problem inom den finländska småbarnspedagogiken i dagsläget. Ett av dem kan dock lösas snabbt och enkelt. Byggandet av storförskolor kan omedelbart upphöra. Barn kan och ska inte komprimeras och centraliseras, även om det just nu råder en storhetsvurm i Finland, där man bland annat bygger stora hälsocentraler, sjukhus och bostadshus.</w:t>
      </w:r>
      <w:r w:rsidRPr="00EB2235">
        <w:rPr>
          <w:rFonts w:ascii="Calibri" w:eastAsia="Times New Roman" w:hAnsi="Calibri" w:cs="Calibri"/>
          <w:color w:val="000000"/>
          <w:lang w:eastAsia="sv-SE"/>
        </w:rPr>
        <w:br/>
      </w:r>
      <w:r w:rsidRPr="00EB2235">
        <w:rPr>
          <w:rFonts w:ascii="Calibri" w:eastAsia="Times New Roman" w:hAnsi="Calibri" w:cs="Calibri"/>
          <w:color w:val="000000"/>
          <w:lang w:eastAsia="sv-SE"/>
        </w:rPr>
        <w:br/>
      </w:r>
    </w:p>
    <w:p w14:paraId="01C0D145"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Källor:</w:t>
      </w:r>
      <w:r w:rsidRPr="00EB2235">
        <w:rPr>
          <w:rFonts w:ascii="Calibri" w:eastAsia="Times New Roman" w:hAnsi="Calibri" w:cs="Calibri"/>
          <w:b/>
          <w:bCs/>
          <w:color w:val="000000"/>
          <w:lang w:eastAsia="sv-SE"/>
        </w:rPr>
        <w:br/>
      </w:r>
      <w:r w:rsidRPr="00EB2235">
        <w:rPr>
          <w:rFonts w:ascii="Calibri" w:eastAsia="Times New Roman" w:hAnsi="Calibri" w:cs="Calibri"/>
          <w:color w:val="000000"/>
          <w:lang w:eastAsia="sv-SE"/>
        </w:rPr>
        <w:br/>
      </w:r>
      <w:r w:rsidRPr="00EB2235">
        <w:rPr>
          <w:rFonts w:ascii="Calibri" w:eastAsia="Times New Roman" w:hAnsi="Calibri" w:cs="Calibri"/>
          <w:b/>
          <w:bCs/>
          <w:color w:val="000000"/>
          <w:lang w:eastAsia="sv-SE"/>
        </w:rPr>
        <w:t>Tidningar</w:t>
      </w:r>
      <w:r w:rsidRPr="00EB2235">
        <w:rPr>
          <w:rFonts w:ascii="Calibri" w:eastAsia="Times New Roman" w:hAnsi="Calibri" w:cs="Calibri"/>
          <w:color w:val="000000"/>
          <w:lang w:eastAsia="sv-SE"/>
        </w:rPr>
        <w:br/>
        <w:t>Aftonbladet (16.10.2024). Stoppa megaförskolor – barnen mår inte bra. (</w:t>
      </w:r>
      <w:proofErr w:type="spellStart"/>
      <w:r w:rsidRPr="00EB2235">
        <w:rPr>
          <w:rFonts w:ascii="Calibri" w:eastAsia="Times New Roman" w:hAnsi="Calibri" w:cs="Calibri"/>
          <w:color w:val="000000"/>
          <w:lang w:eastAsia="sv-SE"/>
        </w:rPr>
        <w:t>Dimitra</w:t>
      </w:r>
      <w:proofErr w:type="spellEnd"/>
      <w:r w:rsidRPr="00EB2235">
        <w:rPr>
          <w:rFonts w:ascii="Calibri" w:eastAsia="Times New Roman" w:hAnsi="Calibri" w:cs="Calibri"/>
          <w:color w:val="000000"/>
          <w:lang w:eastAsia="sv-SE"/>
        </w:rPr>
        <w:t xml:space="preserve"> Blomberg &amp; al.)</w:t>
      </w:r>
      <w:r w:rsidRPr="00EB2235">
        <w:rPr>
          <w:rFonts w:ascii="Calibri" w:eastAsia="Times New Roman" w:hAnsi="Calibri" w:cs="Calibri"/>
          <w:color w:val="000000"/>
          <w:lang w:eastAsia="sv-SE"/>
        </w:rPr>
        <w:br/>
        <w:t xml:space="preserve">Helsingin </w:t>
      </w:r>
      <w:proofErr w:type="spellStart"/>
      <w:r w:rsidRPr="00EB2235">
        <w:rPr>
          <w:rFonts w:ascii="Calibri" w:eastAsia="Times New Roman" w:hAnsi="Calibri" w:cs="Calibri"/>
          <w:color w:val="000000"/>
          <w:lang w:eastAsia="sv-SE"/>
        </w:rPr>
        <w:t>Sanomat</w:t>
      </w:r>
      <w:proofErr w:type="spellEnd"/>
      <w:r w:rsidRPr="00EB2235">
        <w:rPr>
          <w:rFonts w:ascii="Calibri" w:eastAsia="Times New Roman" w:hAnsi="Calibri" w:cs="Calibri"/>
          <w:color w:val="000000"/>
          <w:lang w:eastAsia="sv-SE"/>
        </w:rPr>
        <w:t xml:space="preserve"> (10.11.2023). Forskare kritiserar storförskolor.</w:t>
      </w:r>
      <w:r w:rsidRPr="00EB2235">
        <w:rPr>
          <w:rFonts w:ascii="Calibri" w:eastAsia="Times New Roman" w:hAnsi="Calibri" w:cs="Calibri"/>
          <w:color w:val="000000"/>
          <w:lang w:eastAsia="sv-SE"/>
        </w:rPr>
        <w:br/>
        <w:t xml:space="preserve">Helsingin </w:t>
      </w:r>
      <w:proofErr w:type="spellStart"/>
      <w:r w:rsidRPr="00EB2235">
        <w:rPr>
          <w:rFonts w:ascii="Calibri" w:eastAsia="Times New Roman" w:hAnsi="Calibri" w:cs="Calibri"/>
          <w:color w:val="000000"/>
          <w:lang w:eastAsia="sv-SE"/>
        </w:rPr>
        <w:t>Sanomat</w:t>
      </w:r>
      <w:proofErr w:type="spellEnd"/>
      <w:r w:rsidRPr="00EB2235">
        <w:rPr>
          <w:rFonts w:ascii="Calibri" w:eastAsia="Times New Roman" w:hAnsi="Calibri" w:cs="Calibri"/>
          <w:color w:val="000000"/>
          <w:lang w:eastAsia="sv-SE"/>
        </w:rPr>
        <w:t xml:space="preserve"> (15.11.2023). Behövs det verkligen separata gemensamma utrymmen i förskolor? (Leena Salminen)</w:t>
      </w:r>
      <w:r w:rsidRPr="00EB2235">
        <w:rPr>
          <w:rFonts w:ascii="Calibri" w:eastAsia="Times New Roman" w:hAnsi="Calibri" w:cs="Calibri"/>
          <w:color w:val="000000"/>
          <w:lang w:eastAsia="sv-SE"/>
        </w:rPr>
        <w:br/>
        <w:t xml:space="preserve">Helsingin </w:t>
      </w:r>
      <w:proofErr w:type="spellStart"/>
      <w:r w:rsidRPr="00EB2235">
        <w:rPr>
          <w:rFonts w:ascii="Calibri" w:eastAsia="Times New Roman" w:hAnsi="Calibri" w:cs="Calibri"/>
          <w:color w:val="000000"/>
          <w:lang w:eastAsia="sv-SE"/>
        </w:rPr>
        <w:t>Sanomat</w:t>
      </w:r>
      <w:proofErr w:type="spellEnd"/>
      <w:r w:rsidRPr="00EB2235">
        <w:rPr>
          <w:rFonts w:ascii="Calibri" w:eastAsia="Times New Roman" w:hAnsi="Calibri" w:cs="Calibri"/>
          <w:color w:val="000000"/>
          <w:lang w:eastAsia="sv-SE"/>
        </w:rPr>
        <w:t xml:space="preserve"> (24.11.2023). Skrämmande resultat i HS-undersökning: Personalen ser de nya storförskolorna som katastrofer. (Emilia </w:t>
      </w:r>
      <w:proofErr w:type="spellStart"/>
      <w:r w:rsidRPr="00EB2235">
        <w:rPr>
          <w:rFonts w:ascii="Calibri" w:eastAsia="Times New Roman" w:hAnsi="Calibri" w:cs="Calibri"/>
          <w:color w:val="000000"/>
          <w:lang w:eastAsia="sv-SE"/>
        </w:rPr>
        <w:t>Kangasluoma</w:t>
      </w:r>
      <w:proofErr w:type="spellEnd"/>
      <w:r w:rsidRPr="00EB2235">
        <w:rPr>
          <w:rFonts w:ascii="Calibri" w:eastAsia="Times New Roman" w:hAnsi="Calibri" w:cs="Calibri"/>
          <w:color w:val="000000"/>
          <w:lang w:eastAsia="sv-SE"/>
        </w:rPr>
        <w:t>)</w:t>
      </w:r>
      <w:r w:rsidRPr="00EB2235">
        <w:rPr>
          <w:rFonts w:ascii="Calibri" w:eastAsia="Times New Roman" w:hAnsi="Calibri" w:cs="Calibri"/>
          <w:color w:val="000000"/>
          <w:lang w:eastAsia="sv-SE"/>
        </w:rPr>
        <w:br/>
        <w:t xml:space="preserve">Helsingin </w:t>
      </w:r>
      <w:proofErr w:type="spellStart"/>
      <w:r w:rsidRPr="00EB2235">
        <w:rPr>
          <w:rFonts w:ascii="Calibri" w:eastAsia="Times New Roman" w:hAnsi="Calibri" w:cs="Calibri"/>
          <w:color w:val="000000"/>
          <w:lang w:eastAsia="sv-SE"/>
        </w:rPr>
        <w:t>Sanomat</w:t>
      </w:r>
      <w:proofErr w:type="spellEnd"/>
      <w:r w:rsidRPr="00EB2235">
        <w:rPr>
          <w:rFonts w:ascii="Calibri" w:eastAsia="Times New Roman" w:hAnsi="Calibri" w:cs="Calibri"/>
          <w:color w:val="000000"/>
          <w:lang w:eastAsia="sv-SE"/>
        </w:rPr>
        <w:t xml:space="preserve"> (24.2.2024). Helsingfors storförskolor har stora problem med utegården. (Marjatta Kalliala)</w:t>
      </w:r>
      <w:r w:rsidRPr="00EB2235">
        <w:rPr>
          <w:rFonts w:ascii="Calibri" w:eastAsia="Times New Roman" w:hAnsi="Calibri" w:cs="Calibri"/>
          <w:color w:val="000000"/>
          <w:lang w:eastAsia="sv-SE"/>
        </w:rPr>
        <w:br/>
        <w:t xml:space="preserve">Helsingin </w:t>
      </w:r>
      <w:proofErr w:type="spellStart"/>
      <w:r w:rsidRPr="00EB2235">
        <w:rPr>
          <w:rFonts w:ascii="Calibri" w:eastAsia="Times New Roman" w:hAnsi="Calibri" w:cs="Calibri"/>
          <w:color w:val="000000"/>
          <w:lang w:eastAsia="sv-SE"/>
        </w:rPr>
        <w:t>Sanomat</w:t>
      </w:r>
      <w:proofErr w:type="spellEnd"/>
      <w:r w:rsidRPr="00EB2235">
        <w:rPr>
          <w:rFonts w:ascii="Calibri" w:eastAsia="Times New Roman" w:hAnsi="Calibri" w:cs="Calibri"/>
          <w:color w:val="000000"/>
          <w:lang w:eastAsia="sv-SE"/>
        </w:rPr>
        <w:t xml:space="preserve"> (15.3.2024). Små gruppstorlekar och stabila vårdare är viktiga för barnen. (Elina </w:t>
      </w:r>
      <w:proofErr w:type="spellStart"/>
      <w:r w:rsidRPr="00EB2235">
        <w:rPr>
          <w:rFonts w:ascii="Calibri" w:eastAsia="Times New Roman" w:hAnsi="Calibri" w:cs="Calibri"/>
          <w:color w:val="000000"/>
          <w:lang w:eastAsia="sv-SE"/>
        </w:rPr>
        <w:t>Kosonen</w:t>
      </w:r>
      <w:proofErr w:type="spellEnd"/>
      <w:r w:rsidRPr="00EB2235">
        <w:rPr>
          <w:rFonts w:ascii="Calibri" w:eastAsia="Times New Roman" w:hAnsi="Calibri" w:cs="Calibri"/>
          <w:color w:val="000000"/>
          <w:lang w:eastAsia="sv-SE"/>
        </w:rPr>
        <w:t xml:space="preserve"> &amp; Aino Saarinen)</w:t>
      </w:r>
      <w:r w:rsidRPr="00EB2235">
        <w:rPr>
          <w:rFonts w:ascii="Calibri" w:eastAsia="Times New Roman" w:hAnsi="Calibri" w:cs="Calibri"/>
          <w:color w:val="000000"/>
          <w:lang w:eastAsia="sv-SE"/>
        </w:rPr>
        <w:br/>
        <w:t xml:space="preserve">Helsingin </w:t>
      </w:r>
      <w:proofErr w:type="spellStart"/>
      <w:r w:rsidRPr="00EB2235">
        <w:rPr>
          <w:rFonts w:ascii="Calibri" w:eastAsia="Times New Roman" w:hAnsi="Calibri" w:cs="Calibri"/>
          <w:color w:val="000000"/>
          <w:lang w:eastAsia="sv-SE"/>
        </w:rPr>
        <w:t>Sanomat</w:t>
      </w:r>
      <w:proofErr w:type="spellEnd"/>
      <w:r w:rsidRPr="00EB2235">
        <w:rPr>
          <w:rFonts w:ascii="Calibri" w:eastAsia="Times New Roman" w:hAnsi="Calibri" w:cs="Calibri"/>
          <w:color w:val="000000"/>
          <w:lang w:eastAsia="sv-SE"/>
        </w:rPr>
        <w:t xml:space="preserve"> (15.3.2024).</w:t>
      </w:r>
      <w:r w:rsidRPr="00EB2235">
        <w:rPr>
          <w:rFonts w:ascii="Calibri" w:eastAsia="Times New Roman" w:hAnsi="Calibri" w:cs="Calibri"/>
          <w:color w:val="000000"/>
          <w:lang w:eastAsia="sv-SE"/>
        </w:rPr>
        <w:br/>
        <w:t xml:space="preserve">Helsingin </w:t>
      </w:r>
      <w:proofErr w:type="spellStart"/>
      <w:r w:rsidRPr="00EB2235">
        <w:rPr>
          <w:rFonts w:ascii="Calibri" w:eastAsia="Times New Roman" w:hAnsi="Calibri" w:cs="Calibri"/>
          <w:color w:val="000000"/>
          <w:lang w:eastAsia="sv-SE"/>
        </w:rPr>
        <w:t>Sanomat</w:t>
      </w:r>
      <w:proofErr w:type="spellEnd"/>
      <w:r w:rsidRPr="00EB2235">
        <w:rPr>
          <w:rFonts w:ascii="Calibri" w:eastAsia="Times New Roman" w:hAnsi="Calibri" w:cs="Calibri"/>
          <w:color w:val="000000"/>
          <w:lang w:eastAsia="sv-SE"/>
        </w:rPr>
        <w:t xml:space="preserve"> (15.3.2024).</w:t>
      </w:r>
      <w:r w:rsidRPr="00EB2235">
        <w:rPr>
          <w:rFonts w:ascii="Calibri" w:eastAsia="Times New Roman" w:hAnsi="Calibri" w:cs="Calibri"/>
          <w:color w:val="000000"/>
          <w:lang w:eastAsia="sv-SE"/>
        </w:rPr>
        <w:br/>
        <w:t xml:space="preserve">Helsingin </w:t>
      </w:r>
      <w:proofErr w:type="spellStart"/>
      <w:r w:rsidRPr="00EB2235">
        <w:rPr>
          <w:rFonts w:ascii="Calibri" w:eastAsia="Times New Roman" w:hAnsi="Calibri" w:cs="Calibri"/>
          <w:color w:val="000000"/>
          <w:lang w:eastAsia="sv-SE"/>
        </w:rPr>
        <w:t>Sanomat</w:t>
      </w:r>
      <w:proofErr w:type="spellEnd"/>
      <w:r w:rsidRPr="00EB2235">
        <w:rPr>
          <w:rFonts w:ascii="Calibri" w:eastAsia="Times New Roman" w:hAnsi="Calibri" w:cs="Calibri"/>
          <w:color w:val="000000"/>
          <w:lang w:eastAsia="sv-SE"/>
        </w:rPr>
        <w:t xml:space="preserve"> (26.4.2024). Helsingfors förskolor genomför just nu ett stort experiment som ingen har beslutat om. (</w:t>
      </w:r>
      <w:proofErr w:type="spellStart"/>
      <w:r w:rsidRPr="00EB2235">
        <w:rPr>
          <w:rFonts w:ascii="Calibri" w:eastAsia="Times New Roman" w:hAnsi="Calibri" w:cs="Calibri"/>
          <w:color w:val="000000"/>
          <w:lang w:eastAsia="sv-SE"/>
        </w:rPr>
        <w:t>Noona</w:t>
      </w:r>
      <w:proofErr w:type="spellEnd"/>
      <w:r w:rsidRPr="00EB2235">
        <w:rPr>
          <w:rFonts w:ascii="Calibri" w:eastAsia="Times New Roman" w:hAnsi="Calibri" w:cs="Calibri"/>
          <w:color w:val="000000"/>
          <w:lang w:eastAsia="sv-SE"/>
        </w:rPr>
        <w:t xml:space="preserve"> Bäckgren)</w:t>
      </w:r>
    </w:p>
    <w:p w14:paraId="5D28F18C"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Övriga källor</w:t>
      </w:r>
      <w:r w:rsidRPr="00EB2235">
        <w:rPr>
          <w:rFonts w:ascii="Calibri" w:eastAsia="Times New Roman" w:hAnsi="Calibri" w:cs="Calibri"/>
          <w:color w:val="000000"/>
          <w:lang w:eastAsia="sv-SE"/>
        </w:rPr>
        <w:br/>
        <w:t xml:space="preserve">Barnehagenes organisering </w:t>
      </w:r>
      <w:proofErr w:type="spellStart"/>
      <w:r w:rsidRPr="00EB2235">
        <w:rPr>
          <w:rFonts w:ascii="Calibri" w:eastAsia="Times New Roman" w:hAnsi="Calibri" w:cs="Calibri"/>
          <w:color w:val="000000"/>
          <w:lang w:eastAsia="sv-SE"/>
        </w:rPr>
        <w:t>og</w:t>
      </w:r>
      <w:proofErr w:type="spellEnd"/>
      <w:r w:rsidRPr="00EB2235">
        <w:rPr>
          <w:rFonts w:ascii="Calibri" w:eastAsia="Times New Roman" w:hAnsi="Calibri" w:cs="Calibri"/>
          <w:color w:val="000000"/>
          <w:lang w:eastAsia="sv-SE"/>
        </w:rPr>
        <w:t xml:space="preserve"> strukturelle faktorers betydning for kvalitet – Rapport IRIS (International Research Institute of Stavanger) 2011/029</w:t>
      </w:r>
      <w:r w:rsidRPr="00EB2235">
        <w:rPr>
          <w:rFonts w:ascii="Calibri" w:eastAsia="Times New Roman" w:hAnsi="Calibri" w:cs="Calibri"/>
          <w:color w:val="000000"/>
          <w:lang w:eastAsia="sv-SE"/>
        </w:rPr>
        <w:br/>
        <w:t xml:space="preserve">Barnstugeutredningen </w:t>
      </w:r>
      <w:proofErr w:type="spellStart"/>
      <w:r w:rsidRPr="00EB2235">
        <w:rPr>
          <w:rFonts w:ascii="Calibri" w:eastAsia="Times New Roman" w:hAnsi="Calibri" w:cs="Calibri"/>
          <w:color w:val="000000"/>
          <w:lang w:eastAsia="sv-SE"/>
        </w:rPr>
        <w:t>sou</w:t>
      </w:r>
      <w:proofErr w:type="spellEnd"/>
      <w:r w:rsidRPr="00EB2235">
        <w:rPr>
          <w:rFonts w:ascii="Calibri" w:eastAsia="Times New Roman" w:hAnsi="Calibri" w:cs="Calibri"/>
          <w:color w:val="000000"/>
          <w:lang w:eastAsia="sv-SE"/>
        </w:rPr>
        <w:t xml:space="preserve"> 1972</w:t>
      </w:r>
      <w:r w:rsidRPr="00EB2235">
        <w:rPr>
          <w:rFonts w:ascii="Calibri" w:eastAsia="Times New Roman" w:hAnsi="Calibri" w:cs="Calibri"/>
          <w:color w:val="000000"/>
          <w:lang w:eastAsia="sv-SE"/>
        </w:rPr>
        <w:br/>
        <w:t xml:space="preserve">Berg, Annina (2017). Barnens rum? Sambandet mellan förskolans rumsplanering och framträdande faktorer inom rumsplaneringen. </w:t>
      </w:r>
      <w:r w:rsidRPr="00EB2235">
        <w:rPr>
          <w:rFonts w:ascii="Calibri" w:eastAsia="Times New Roman" w:hAnsi="Calibri" w:cs="Calibri"/>
          <w:color w:val="000000"/>
          <w:lang w:val="en-US" w:eastAsia="sv-SE"/>
        </w:rPr>
        <w:t>Jyväskylä universitet.</w:t>
      </w:r>
      <w:r w:rsidRPr="00EB2235">
        <w:rPr>
          <w:rFonts w:ascii="Calibri" w:eastAsia="Times New Roman" w:hAnsi="Calibri" w:cs="Calibri"/>
          <w:color w:val="000000"/>
          <w:lang w:val="en-US" w:eastAsia="sv-SE"/>
        </w:rPr>
        <w:br/>
        <w:t xml:space="preserve">Cleveland, Benjamin &amp; Kenn Fisher (2014). The evaluation of physical learning environments: a critical review of the literature. </w:t>
      </w:r>
      <w:r w:rsidRPr="00EB2235">
        <w:rPr>
          <w:rFonts w:ascii="Calibri" w:eastAsia="Times New Roman" w:hAnsi="Calibri" w:cs="Calibri"/>
          <w:color w:val="000000"/>
          <w:lang w:eastAsia="sv-SE"/>
        </w:rPr>
        <w:t xml:space="preserve">Learning Environment Research, </w:t>
      </w:r>
      <w:proofErr w:type="spellStart"/>
      <w:r w:rsidRPr="00EB2235">
        <w:rPr>
          <w:rFonts w:ascii="Calibri" w:eastAsia="Times New Roman" w:hAnsi="Calibri" w:cs="Calibri"/>
          <w:color w:val="000000"/>
          <w:lang w:eastAsia="sv-SE"/>
        </w:rPr>
        <w:t>Vol</w:t>
      </w:r>
      <w:proofErr w:type="spellEnd"/>
      <w:r w:rsidRPr="00EB2235">
        <w:rPr>
          <w:rFonts w:ascii="Calibri" w:eastAsia="Times New Roman" w:hAnsi="Calibri" w:cs="Calibri"/>
          <w:color w:val="000000"/>
          <w:lang w:eastAsia="sv-SE"/>
        </w:rPr>
        <w:t xml:space="preserve"> 17; </w:t>
      </w:r>
      <w:proofErr w:type="gramStart"/>
      <w:r w:rsidRPr="00EB2235">
        <w:rPr>
          <w:rFonts w:ascii="Calibri" w:eastAsia="Times New Roman" w:hAnsi="Calibri" w:cs="Calibri"/>
          <w:color w:val="000000"/>
          <w:lang w:eastAsia="sv-SE"/>
        </w:rPr>
        <w:t>1-28</w:t>
      </w:r>
      <w:proofErr w:type="gramEnd"/>
      <w:r w:rsidRPr="00EB2235">
        <w:rPr>
          <w:rFonts w:ascii="Calibri" w:eastAsia="Times New Roman" w:hAnsi="Calibri" w:cs="Calibri"/>
          <w:color w:val="000000"/>
          <w:lang w:eastAsia="sv-SE"/>
        </w:rPr>
        <w:t>.</w:t>
      </w:r>
      <w:r w:rsidRPr="00EB2235">
        <w:rPr>
          <w:rFonts w:ascii="Calibri" w:eastAsia="Times New Roman" w:hAnsi="Calibri" w:cs="Calibri"/>
          <w:color w:val="000000"/>
          <w:lang w:eastAsia="sv-SE"/>
        </w:rPr>
        <w:br/>
        <w:t>Projekthandlingsplan 2821P21727 31.5.2023. Helsingfors stad.</w:t>
      </w:r>
      <w:r w:rsidRPr="00EB2235">
        <w:rPr>
          <w:rFonts w:ascii="Calibri" w:eastAsia="Times New Roman" w:hAnsi="Calibri" w:cs="Calibri"/>
          <w:color w:val="000000"/>
          <w:lang w:eastAsia="sv-SE"/>
        </w:rPr>
        <w:br/>
        <w:t>Nationella hjärnhälsoprogrammet. (Startår 2021).</w:t>
      </w:r>
      <w:r w:rsidRPr="00EB2235">
        <w:rPr>
          <w:rFonts w:ascii="Calibri" w:eastAsia="Times New Roman" w:hAnsi="Calibri" w:cs="Calibri"/>
          <w:color w:val="000000"/>
          <w:lang w:eastAsia="sv-SE"/>
        </w:rPr>
        <w:br/>
        <w:t xml:space="preserve">Förskolans handbok. Utveckling av rumsplanering för förskolor i Helsingfors. </w:t>
      </w:r>
      <w:r w:rsidRPr="00EB2235">
        <w:rPr>
          <w:rFonts w:ascii="Calibri" w:eastAsia="Times New Roman" w:hAnsi="Calibri" w:cs="Calibri"/>
          <w:color w:val="000000"/>
          <w:lang w:val="en-US" w:eastAsia="sv-SE"/>
        </w:rPr>
        <w:t>(2019) Helsingfors stad.</w:t>
      </w:r>
      <w:r w:rsidRPr="00EB2235">
        <w:rPr>
          <w:rFonts w:ascii="Calibri" w:eastAsia="Times New Roman" w:hAnsi="Calibri" w:cs="Calibri"/>
          <w:color w:val="000000"/>
          <w:lang w:val="en-US" w:eastAsia="sv-SE"/>
        </w:rPr>
        <w:br/>
        <w:t xml:space="preserve">Roslund, Marja (2020). Associations between Biodiversity, Pollution, the Commensal Microbiota of Children, and Immune Response. </w:t>
      </w:r>
      <w:r w:rsidRPr="00EB2235">
        <w:rPr>
          <w:rFonts w:ascii="Calibri" w:eastAsia="Times New Roman" w:hAnsi="Calibri" w:cs="Calibri"/>
          <w:color w:val="000000"/>
          <w:lang w:eastAsia="sv-SE"/>
        </w:rPr>
        <w:t>Helsingfors universitet: bio- och miljövetenskapliga fakulteten.</w:t>
      </w:r>
      <w:r w:rsidRPr="00EB2235">
        <w:rPr>
          <w:rFonts w:ascii="Calibri" w:eastAsia="Times New Roman" w:hAnsi="Calibri" w:cs="Calibri"/>
          <w:color w:val="000000"/>
          <w:lang w:eastAsia="sv-SE"/>
        </w:rPr>
        <w:br/>
        <w:t>Socialstyrelsen (1980). Planering av förskolans lokaler. Byggnadsinformationsdatabasen (RT SH-</w:t>
      </w:r>
      <w:proofErr w:type="gramStart"/>
      <w:r w:rsidRPr="00EB2235">
        <w:rPr>
          <w:rFonts w:ascii="Calibri" w:eastAsia="Times New Roman" w:hAnsi="Calibri" w:cs="Calibri"/>
          <w:color w:val="000000"/>
          <w:lang w:eastAsia="sv-SE"/>
        </w:rPr>
        <w:t>20380</w:t>
      </w:r>
      <w:proofErr w:type="gramEnd"/>
      <w:r w:rsidRPr="00EB2235">
        <w:rPr>
          <w:rFonts w:ascii="Calibri" w:eastAsia="Times New Roman" w:hAnsi="Calibri" w:cs="Calibri"/>
          <w:color w:val="000000"/>
          <w:lang w:eastAsia="sv-SE"/>
        </w:rPr>
        <w:t>).</w:t>
      </w:r>
      <w:r w:rsidRPr="00EB2235">
        <w:rPr>
          <w:rFonts w:ascii="Calibri" w:eastAsia="Times New Roman" w:hAnsi="Calibri" w:cs="Calibri"/>
          <w:color w:val="000000"/>
          <w:lang w:eastAsia="sv-SE"/>
        </w:rPr>
        <w:br/>
      </w:r>
      <w:r w:rsidRPr="00EB2235">
        <w:rPr>
          <w:rFonts w:ascii="Calibri" w:eastAsia="Times New Roman" w:hAnsi="Calibri" w:cs="Calibri"/>
          <w:color w:val="000000"/>
          <w:lang w:eastAsia="sv-SE"/>
        </w:rPr>
        <w:lastRenderedPageBreak/>
        <w:t xml:space="preserve">Salminen, Leena (2023). Förskola anpassad efter barnens storlek i området </w:t>
      </w:r>
      <w:proofErr w:type="spellStart"/>
      <w:r w:rsidRPr="00EB2235">
        <w:rPr>
          <w:rFonts w:ascii="Calibri" w:eastAsia="Times New Roman" w:hAnsi="Calibri" w:cs="Calibri"/>
          <w:color w:val="000000"/>
          <w:lang w:eastAsia="sv-SE"/>
        </w:rPr>
        <w:t>Nallenrinne</w:t>
      </w:r>
      <w:proofErr w:type="spellEnd"/>
      <w:r w:rsidRPr="00EB2235">
        <w:rPr>
          <w:rFonts w:ascii="Calibri" w:eastAsia="Times New Roman" w:hAnsi="Calibri" w:cs="Calibri"/>
          <w:color w:val="000000"/>
          <w:lang w:eastAsia="sv-SE"/>
        </w:rPr>
        <w:t xml:space="preserve"> i Helsingfors. </w:t>
      </w:r>
      <w:proofErr w:type="spellStart"/>
      <w:r w:rsidRPr="00EB2235">
        <w:rPr>
          <w:rFonts w:ascii="Calibri" w:eastAsia="Times New Roman" w:hAnsi="Calibri" w:cs="Calibri"/>
          <w:color w:val="000000"/>
          <w:lang w:eastAsia="sv-SE"/>
        </w:rPr>
        <w:t>Metropolia</w:t>
      </w:r>
      <w:proofErr w:type="spellEnd"/>
      <w:r w:rsidRPr="00EB2235">
        <w:rPr>
          <w:rFonts w:ascii="Calibri" w:eastAsia="Times New Roman" w:hAnsi="Calibri" w:cs="Calibri"/>
          <w:color w:val="000000"/>
          <w:lang w:eastAsia="sv-SE"/>
        </w:rPr>
        <w:t xml:space="preserve"> </w:t>
      </w:r>
      <w:proofErr w:type="spellStart"/>
      <w:r w:rsidRPr="00EB2235">
        <w:rPr>
          <w:rFonts w:ascii="Calibri" w:eastAsia="Times New Roman" w:hAnsi="Calibri" w:cs="Calibri"/>
          <w:color w:val="000000"/>
          <w:lang w:eastAsia="sv-SE"/>
        </w:rPr>
        <w:t>YH</w:t>
      </w:r>
      <w:proofErr w:type="spellEnd"/>
      <w:r w:rsidRPr="00EB2235">
        <w:rPr>
          <w:rFonts w:ascii="Calibri" w:eastAsia="Times New Roman" w:hAnsi="Calibri" w:cs="Calibri"/>
          <w:color w:val="000000"/>
          <w:lang w:eastAsia="sv-SE"/>
        </w:rPr>
        <w:t>.</w:t>
      </w:r>
      <w:r w:rsidRPr="00EB2235">
        <w:rPr>
          <w:rFonts w:ascii="Calibri" w:eastAsia="Times New Roman" w:hAnsi="Calibri" w:cs="Calibri"/>
          <w:color w:val="000000"/>
          <w:lang w:eastAsia="sv-SE"/>
        </w:rPr>
        <w:br/>
        <w:t>Sillanpää, Taina (2021). Rum, barn och aktörskap. Förändringar och kontinuitet i minnesbaserat material om vardagen på daghem och förskolor. Helsingfors universitet.</w:t>
      </w:r>
      <w:r w:rsidRPr="00EB2235">
        <w:rPr>
          <w:rFonts w:ascii="Calibri" w:eastAsia="Times New Roman" w:hAnsi="Calibri" w:cs="Calibri"/>
          <w:color w:val="000000"/>
          <w:lang w:eastAsia="sv-SE"/>
        </w:rPr>
        <w:br/>
        <w:t xml:space="preserve">Tammisto, </w:t>
      </w:r>
      <w:proofErr w:type="spellStart"/>
      <w:r w:rsidRPr="00EB2235">
        <w:rPr>
          <w:rFonts w:ascii="Calibri" w:eastAsia="Times New Roman" w:hAnsi="Calibri" w:cs="Calibri"/>
          <w:color w:val="000000"/>
          <w:lang w:eastAsia="sv-SE"/>
        </w:rPr>
        <w:t>Pihla</w:t>
      </w:r>
      <w:proofErr w:type="spellEnd"/>
      <w:r w:rsidRPr="00EB2235">
        <w:rPr>
          <w:rFonts w:ascii="Calibri" w:eastAsia="Times New Roman" w:hAnsi="Calibri" w:cs="Calibri"/>
          <w:color w:val="000000"/>
          <w:lang w:eastAsia="sv-SE"/>
        </w:rPr>
        <w:t xml:space="preserve"> (2022). Från förlängning av hemmet till inlärningsmiljö: Förändringar i rumsplaneringen för förskolor i Helsingfors från 1980-talet till idag. Aalto-universitetet.</w:t>
      </w:r>
      <w:r w:rsidRPr="00EB2235">
        <w:rPr>
          <w:rFonts w:ascii="Calibri" w:eastAsia="Times New Roman" w:hAnsi="Calibri" w:cs="Calibri"/>
          <w:color w:val="000000"/>
          <w:lang w:eastAsia="sv-SE"/>
        </w:rPr>
        <w:br/>
        <w:t>Statsrådets förordning om småbarnspedagogik 208/753, §1.</w:t>
      </w:r>
      <w:r w:rsidRPr="00EB2235">
        <w:rPr>
          <w:rFonts w:ascii="Calibri" w:eastAsia="Times New Roman" w:hAnsi="Calibri" w:cs="Calibri"/>
          <w:color w:val="000000"/>
          <w:lang w:eastAsia="sv-SE"/>
        </w:rPr>
        <w:br/>
        <w:t xml:space="preserve">Nyckeltal för småbarnspedagogik 2021, </w:t>
      </w:r>
      <w:proofErr w:type="spellStart"/>
      <w:r w:rsidRPr="00EB2235">
        <w:rPr>
          <w:rFonts w:ascii="Calibri" w:eastAsia="Times New Roman" w:hAnsi="Calibri" w:cs="Calibri"/>
          <w:color w:val="000000"/>
          <w:lang w:eastAsia="sv-SE"/>
        </w:rPr>
        <w:t>Vipunen</w:t>
      </w:r>
      <w:proofErr w:type="spellEnd"/>
      <w:r w:rsidRPr="00EB2235">
        <w:rPr>
          <w:rFonts w:ascii="Calibri" w:eastAsia="Times New Roman" w:hAnsi="Calibri" w:cs="Calibri"/>
          <w:color w:val="000000"/>
          <w:lang w:eastAsia="sv-SE"/>
        </w:rPr>
        <w:t>, Statistikservice för undervisningsförvaltningen.</w:t>
      </w:r>
      <w:r w:rsidRPr="00EB2235">
        <w:rPr>
          <w:rFonts w:ascii="Calibri" w:eastAsia="Times New Roman" w:hAnsi="Calibri" w:cs="Calibri"/>
          <w:color w:val="000000"/>
          <w:lang w:eastAsia="sv-SE"/>
        </w:rPr>
        <w:br/>
        <w:t>Lagen om småbarnspedagogik 2018/540, §35.</w:t>
      </w:r>
      <w:r w:rsidRPr="00EB2235">
        <w:rPr>
          <w:rFonts w:ascii="Calibri" w:eastAsia="Times New Roman" w:hAnsi="Calibri" w:cs="Calibri"/>
          <w:color w:val="000000"/>
          <w:lang w:eastAsia="sv-SE"/>
        </w:rPr>
        <w:br/>
        <w:t>Grunderna för planen för småbarnspedagogik 2022. Utbildningsstyrelsen.</w:t>
      </w:r>
      <w:r w:rsidRPr="00EB2235">
        <w:rPr>
          <w:rFonts w:ascii="Calibri" w:eastAsia="Times New Roman" w:hAnsi="Calibri" w:cs="Calibri"/>
          <w:color w:val="000000"/>
          <w:lang w:eastAsia="sv-SE"/>
        </w:rPr>
        <w:br/>
        <w:t xml:space="preserve">Barnehagenes organisering </w:t>
      </w:r>
      <w:proofErr w:type="spellStart"/>
      <w:r w:rsidRPr="00EB2235">
        <w:rPr>
          <w:rFonts w:ascii="Calibri" w:eastAsia="Times New Roman" w:hAnsi="Calibri" w:cs="Calibri"/>
          <w:color w:val="000000"/>
          <w:lang w:eastAsia="sv-SE"/>
        </w:rPr>
        <w:t>og</w:t>
      </w:r>
      <w:proofErr w:type="spellEnd"/>
      <w:r w:rsidRPr="00EB2235">
        <w:rPr>
          <w:rFonts w:ascii="Calibri" w:eastAsia="Times New Roman" w:hAnsi="Calibri" w:cs="Calibri"/>
          <w:color w:val="000000"/>
          <w:lang w:eastAsia="sv-SE"/>
        </w:rPr>
        <w:t xml:space="preserve"> strukturelle faktorers betydning for kvalitet – Rapport IRIS (International Research Institute of Stavanger) 2011/02</w:t>
      </w:r>
    </w:p>
    <w:p w14:paraId="06C76B85" w14:textId="77777777" w:rsidR="00EB2235" w:rsidRPr="00EB2235" w:rsidRDefault="00EB2235" w:rsidP="00EB2235">
      <w:pPr>
        <w:spacing w:before="240" w:after="240"/>
        <w:rPr>
          <w:rFonts w:ascii="Times New Roman" w:eastAsia="Times New Roman" w:hAnsi="Times New Roman" w:cs="Times New Roman"/>
          <w:lang w:eastAsia="sv-SE"/>
        </w:rPr>
      </w:pPr>
      <w:r w:rsidRPr="00EB2235">
        <w:rPr>
          <w:rFonts w:ascii="Calibri" w:eastAsia="Times New Roman" w:hAnsi="Calibri" w:cs="Calibri"/>
          <w:b/>
          <w:bCs/>
          <w:color w:val="000000"/>
          <w:lang w:eastAsia="sv-SE"/>
        </w:rPr>
        <w:t>Digitala källor</w:t>
      </w:r>
      <w:r w:rsidRPr="00EB2235">
        <w:rPr>
          <w:rFonts w:ascii="Calibri" w:eastAsia="Times New Roman" w:hAnsi="Calibri" w:cs="Calibri"/>
          <w:color w:val="000000"/>
          <w:lang w:eastAsia="sv-SE"/>
        </w:rPr>
        <w:br/>
      </w:r>
      <w:hyperlink r:id="rId4" w:history="1">
        <w:r w:rsidRPr="00EB2235">
          <w:rPr>
            <w:rFonts w:ascii="Calibri" w:eastAsia="Times New Roman" w:hAnsi="Calibri" w:cs="Calibri"/>
            <w:color w:val="1155CC"/>
            <w:u w:val="single"/>
            <w:lang w:eastAsia="sv-SE"/>
          </w:rPr>
          <w:t>https://barnsutemiljo.com/</w:t>
        </w:r>
      </w:hyperlink>
      <w:r w:rsidRPr="00EB2235">
        <w:rPr>
          <w:rFonts w:ascii="Calibri" w:eastAsia="Times New Roman" w:hAnsi="Calibri" w:cs="Calibri"/>
          <w:color w:val="000000"/>
          <w:lang w:eastAsia="sv-SE"/>
        </w:rPr>
        <w:t xml:space="preserve"> Kerstin Wickman: Måste barnen andas mikroplast? (Opublicerad debattartikel)</w:t>
      </w:r>
      <w:r w:rsidRPr="00EB2235">
        <w:rPr>
          <w:rFonts w:ascii="Calibri" w:eastAsia="Times New Roman" w:hAnsi="Calibri" w:cs="Calibri"/>
          <w:color w:val="000000"/>
          <w:lang w:eastAsia="sv-SE"/>
        </w:rPr>
        <w:br/>
      </w:r>
      <w:hyperlink r:id="rId5" w:history="1">
        <w:r w:rsidRPr="00EB2235">
          <w:rPr>
            <w:rFonts w:ascii="Calibri" w:eastAsia="Times New Roman" w:hAnsi="Calibri" w:cs="Calibri"/>
            <w:color w:val="1155CC"/>
            <w:u w:val="single"/>
            <w:lang w:eastAsia="sv-SE"/>
          </w:rPr>
          <w:t>https://barnsutemiljo.com/</w:t>
        </w:r>
      </w:hyperlink>
      <w:r w:rsidRPr="00EB2235">
        <w:rPr>
          <w:rFonts w:ascii="Calibri" w:eastAsia="Times New Roman" w:hAnsi="Calibri" w:cs="Calibri"/>
          <w:color w:val="000000"/>
          <w:lang w:eastAsia="sv-SE"/>
        </w:rPr>
        <w:t xml:space="preserve"> Clarissa Kugelberg: Stora förskolor borde stoppas.</w:t>
      </w:r>
      <w:r w:rsidRPr="00EB2235">
        <w:rPr>
          <w:rFonts w:ascii="Calibri" w:eastAsia="Times New Roman" w:hAnsi="Calibri" w:cs="Calibri"/>
          <w:color w:val="000000"/>
          <w:lang w:eastAsia="sv-SE"/>
        </w:rPr>
        <w:br/>
      </w:r>
      <w:hyperlink r:id="rId6" w:history="1">
        <w:r w:rsidRPr="00EB2235">
          <w:rPr>
            <w:rFonts w:ascii="Calibri" w:eastAsia="Times New Roman" w:hAnsi="Calibri" w:cs="Calibri"/>
            <w:color w:val="1155CC"/>
            <w:u w:val="single"/>
            <w:lang w:eastAsia="sv-SE"/>
          </w:rPr>
          <w:t>http://www.hel.fi/static/ymk/esitteet/paivahoitotilat.pdf</w:t>
        </w:r>
        <w:r w:rsidRPr="00EB2235">
          <w:rPr>
            <w:rFonts w:ascii="Calibri" w:eastAsia="Times New Roman" w:hAnsi="Calibri" w:cs="Calibri"/>
            <w:color w:val="1155CC"/>
            <w:u w:val="single"/>
            <w:lang w:eastAsia="sv-SE"/>
          </w:rPr>
          <w:br/>
        </w:r>
      </w:hyperlink>
      <w:r w:rsidRPr="00EB2235">
        <w:rPr>
          <w:rFonts w:ascii="Calibri" w:eastAsia="Times New Roman" w:hAnsi="Calibri" w:cs="Calibri"/>
          <w:color w:val="000000"/>
          <w:lang w:eastAsia="sv-SE"/>
        </w:rPr>
        <w:t xml:space="preserve">Helsingin </w:t>
      </w:r>
      <w:proofErr w:type="spellStart"/>
      <w:r w:rsidRPr="00EB2235">
        <w:rPr>
          <w:rFonts w:ascii="Calibri" w:eastAsia="Times New Roman" w:hAnsi="Calibri" w:cs="Calibri"/>
          <w:color w:val="000000"/>
          <w:lang w:eastAsia="sv-SE"/>
        </w:rPr>
        <w:t>Sanomat</w:t>
      </w:r>
      <w:proofErr w:type="spellEnd"/>
      <w:r w:rsidRPr="00EB2235">
        <w:rPr>
          <w:rFonts w:ascii="Calibri" w:eastAsia="Times New Roman" w:hAnsi="Calibri" w:cs="Calibri"/>
          <w:color w:val="000000"/>
          <w:lang w:eastAsia="sv-SE"/>
        </w:rPr>
        <w:t xml:space="preserve"> (20.11.2023). Förskolornas gårdsplanering behöver mer uppmärksamhet. (</w:t>
      </w:r>
      <w:proofErr w:type="spellStart"/>
      <w:r w:rsidRPr="00EB2235">
        <w:rPr>
          <w:rFonts w:ascii="Calibri" w:eastAsia="Times New Roman" w:hAnsi="Calibri" w:cs="Calibri"/>
          <w:color w:val="000000"/>
          <w:lang w:eastAsia="sv-SE"/>
        </w:rPr>
        <w:t>Iida</w:t>
      </w:r>
      <w:proofErr w:type="spellEnd"/>
      <w:r w:rsidRPr="00EB2235">
        <w:rPr>
          <w:rFonts w:ascii="Calibri" w:eastAsia="Times New Roman" w:hAnsi="Calibri" w:cs="Calibri"/>
          <w:color w:val="000000"/>
          <w:lang w:eastAsia="sv-SE"/>
        </w:rPr>
        <w:t xml:space="preserve"> Juurinen &amp; Hertta </w:t>
      </w:r>
      <w:proofErr w:type="spellStart"/>
      <w:r w:rsidRPr="00EB2235">
        <w:rPr>
          <w:rFonts w:ascii="Calibri" w:eastAsia="Times New Roman" w:hAnsi="Calibri" w:cs="Calibri"/>
          <w:color w:val="000000"/>
          <w:lang w:eastAsia="sv-SE"/>
        </w:rPr>
        <w:t>Ahveninen</w:t>
      </w:r>
      <w:proofErr w:type="spellEnd"/>
      <w:r w:rsidRPr="00EB2235">
        <w:rPr>
          <w:rFonts w:ascii="Calibri" w:eastAsia="Times New Roman" w:hAnsi="Calibri" w:cs="Calibri"/>
          <w:color w:val="000000"/>
          <w:lang w:eastAsia="sv-SE"/>
        </w:rPr>
        <w:t xml:space="preserve"> &amp; Anni </w:t>
      </w:r>
      <w:proofErr w:type="spellStart"/>
      <w:r w:rsidRPr="00EB2235">
        <w:rPr>
          <w:rFonts w:ascii="Calibri" w:eastAsia="Times New Roman" w:hAnsi="Calibri" w:cs="Calibri"/>
          <w:color w:val="000000"/>
          <w:lang w:eastAsia="sv-SE"/>
        </w:rPr>
        <w:t>Järvitalo</w:t>
      </w:r>
      <w:proofErr w:type="spellEnd"/>
      <w:r w:rsidRPr="00EB2235">
        <w:rPr>
          <w:rFonts w:ascii="Calibri" w:eastAsia="Times New Roman" w:hAnsi="Calibri" w:cs="Calibri"/>
          <w:color w:val="000000"/>
          <w:lang w:eastAsia="sv-SE"/>
        </w:rPr>
        <w:t>)</w:t>
      </w:r>
    </w:p>
    <w:p w14:paraId="2B7487C3" w14:textId="77777777" w:rsidR="00EB2235" w:rsidRPr="00EB2235" w:rsidRDefault="00EB2235" w:rsidP="00EB2235">
      <w:pPr>
        <w:spacing w:after="240"/>
        <w:rPr>
          <w:rFonts w:ascii="Times New Roman" w:eastAsia="Times New Roman" w:hAnsi="Times New Roman" w:cs="Times New Roman"/>
          <w:lang w:eastAsia="sv-SE"/>
        </w:rPr>
      </w:pP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r w:rsidRPr="00EB2235">
        <w:rPr>
          <w:rFonts w:ascii="Times New Roman" w:eastAsia="Times New Roman" w:hAnsi="Times New Roman" w:cs="Times New Roman"/>
          <w:lang w:eastAsia="sv-SE"/>
        </w:rPr>
        <w:br/>
      </w:r>
    </w:p>
    <w:p w14:paraId="30891164" w14:textId="77777777" w:rsidR="00EB2235" w:rsidRPr="00EB2235" w:rsidRDefault="00EB2235" w:rsidP="00EB2235">
      <w:pPr>
        <w:rPr>
          <w:rFonts w:ascii="Times New Roman" w:eastAsia="Times New Roman" w:hAnsi="Times New Roman" w:cs="Times New Roman"/>
          <w:lang w:eastAsia="sv-SE"/>
        </w:rPr>
      </w:pPr>
    </w:p>
    <w:p w14:paraId="0F821813" w14:textId="77777777" w:rsidR="00A61918" w:rsidRDefault="00000000"/>
    <w:sectPr w:rsidR="00A61918">
      <w:pgSz w:w="12240" w:h="15840"/>
      <w:pgMar w:top="1417" w:right="1417" w:bottom="1417"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235"/>
    <w:rsid w:val="000C56FD"/>
    <w:rsid w:val="004363BC"/>
    <w:rsid w:val="00735E50"/>
    <w:rsid w:val="00750D5A"/>
    <w:rsid w:val="0084135D"/>
    <w:rsid w:val="009139FD"/>
    <w:rsid w:val="00E4457B"/>
    <w:rsid w:val="00EB223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FC7CA83"/>
  <w15:chartTrackingRefBased/>
  <w15:docId w15:val="{E21033B5-056D-714B-935C-540CEE34C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3">
    <w:name w:val="heading 3"/>
    <w:basedOn w:val="Normal"/>
    <w:link w:val="Rubrik3Char"/>
    <w:uiPriority w:val="9"/>
    <w:qFormat/>
    <w:rsid w:val="00EB2235"/>
    <w:pPr>
      <w:spacing w:before="100" w:beforeAutospacing="1" w:after="100" w:afterAutospacing="1"/>
      <w:outlineLvl w:val="2"/>
    </w:pPr>
    <w:rPr>
      <w:rFonts w:ascii="Times New Roman" w:eastAsia="Times New Roman" w:hAnsi="Times New Roman" w:cs="Times New Roman"/>
      <w:b/>
      <w:bCs/>
      <w:sz w:val="27"/>
      <w:szCs w:val="27"/>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3Char">
    <w:name w:val="Rubrik 3 Char"/>
    <w:basedOn w:val="Standardstycketeckensnitt"/>
    <w:link w:val="Rubrik3"/>
    <w:uiPriority w:val="9"/>
    <w:rsid w:val="00EB2235"/>
    <w:rPr>
      <w:rFonts w:ascii="Times New Roman" w:eastAsia="Times New Roman" w:hAnsi="Times New Roman" w:cs="Times New Roman"/>
      <w:b/>
      <w:bCs/>
      <w:sz w:val="27"/>
      <w:szCs w:val="27"/>
      <w:lang w:eastAsia="sv-SE"/>
    </w:rPr>
  </w:style>
  <w:style w:type="paragraph" w:styleId="Normalwebb">
    <w:name w:val="Normal (Web)"/>
    <w:basedOn w:val="Normal"/>
    <w:uiPriority w:val="99"/>
    <w:semiHidden/>
    <w:unhideWhenUsed/>
    <w:rsid w:val="00EB2235"/>
    <w:pPr>
      <w:spacing w:before="100" w:beforeAutospacing="1" w:after="100" w:afterAutospacing="1"/>
    </w:pPr>
    <w:rPr>
      <w:rFonts w:ascii="Times New Roman" w:eastAsia="Times New Roman" w:hAnsi="Times New Roman" w:cs="Times New Roman"/>
      <w:lang w:eastAsia="sv-SE"/>
    </w:rPr>
  </w:style>
  <w:style w:type="character" w:styleId="Hyperlnk">
    <w:name w:val="Hyperlink"/>
    <w:basedOn w:val="Standardstycketeckensnitt"/>
    <w:uiPriority w:val="99"/>
    <w:semiHidden/>
    <w:unhideWhenUsed/>
    <w:rsid w:val="00EB223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6908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el.fi/static/ymk/esitteet/paivahoitotilat.pdf" TargetMode="External"/><Relationship Id="rId5" Type="http://schemas.openxmlformats.org/officeDocument/2006/relationships/hyperlink" Target="https://barnsutemiljo.com/" TargetMode="External"/><Relationship Id="rId4" Type="http://schemas.openxmlformats.org/officeDocument/2006/relationships/hyperlink" Target="https://barnsutemiljo.co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5904</Words>
  <Characters>31292</Characters>
  <Application>Microsoft Office Word</Application>
  <DocSecurity>0</DocSecurity>
  <Lines>260</Lines>
  <Paragraphs>74</Paragraphs>
  <ScaleCrop>false</ScaleCrop>
  <Company/>
  <LinksUpToDate>false</LinksUpToDate>
  <CharactersWithSpaces>37122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1</cp:revision>
  <dcterms:created xsi:type="dcterms:W3CDTF">2024-11-04T19:56:00Z</dcterms:created>
  <dcterms:modified xsi:type="dcterms:W3CDTF">2024-11-04T19:56:00Z</dcterms:modified>
</cp:coreProperties>
</file>