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59D09" w14:textId="77777777" w:rsidR="00592A18" w:rsidRPr="00592A18" w:rsidRDefault="00592A18" w:rsidP="00592A18">
      <w:pPr>
        <w:shd w:val="clear" w:color="auto" w:fill="FFFFFF"/>
        <w:textAlignment w:val="baseline"/>
        <w:outlineLvl w:val="0"/>
        <w:rPr>
          <w:rFonts w:ascii="Georgia" w:eastAsia="Times New Roman" w:hAnsi="Georgia" w:cs="Times New Roman"/>
          <w:color w:val="121212"/>
          <w:kern w:val="36"/>
          <w:sz w:val="48"/>
          <w:szCs w:val="48"/>
          <w:lang w:val="en-US" w:eastAsia="sv-SE"/>
        </w:rPr>
      </w:pPr>
      <w:r w:rsidRPr="00592A18">
        <w:rPr>
          <w:rFonts w:ascii="Georgia" w:eastAsia="Times New Roman" w:hAnsi="Georgia" w:cs="Times New Roman"/>
          <w:color w:val="121212"/>
          <w:kern w:val="36"/>
          <w:sz w:val="48"/>
          <w:szCs w:val="48"/>
          <w:lang w:val="en-US" w:eastAsia="sv-SE"/>
        </w:rPr>
        <w:t>Children living near green spaces ‘have stronger bones’</w:t>
      </w:r>
    </w:p>
    <w:p w14:paraId="43D62255" w14:textId="77777777" w:rsidR="00592A18" w:rsidRPr="00592A18" w:rsidRDefault="00592A18" w:rsidP="00592A18">
      <w:pPr>
        <w:shd w:val="clear" w:color="auto" w:fill="FFFFFF"/>
        <w:textAlignment w:val="baseline"/>
        <w:rPr>
          <w:rFonts w:ascii="Georgia" w:eastAsia="Times New Roman" w:hAnsi="Georgia" w:cs="Times New Roman"/>
          <w:b/>
          <w:bCs/>
          <w:color w:val="121212"/>
          <w:sz w:val="27"/>
          <w:szCs w:val="27"/>
          <w:lang w:val="en-US" w:eastAsia="sv-SE"/>
        </w:rPr>
      </w:pPr>
      <w:r w:rsidRPr="00592A18">
        <w:rPr>
          <w:rFonts w:ascii="Georgia" w:eastAsia="Times New Roman" w:hAnsi="Georgia" w:cs="Times New Roman"/>
          <w:b/>
          <w:bCs/>
          <w:color w:val="121212"/>
          <w:sz w:val="27"/>
          <w:szCs w:val="27"/>
          <w:lang w:val="en-US" w:eastAsia="sv-SE"/>
        </w:rPr>
        <w:t>Bone strength is set in childhood so better park access could prevent fractures in older people, study finds</w:t>
      </w:r>
    </w:p>
    <w:p w14:paraId="0A1B78CF" w14:textId="08EFFC56" w:rsidR="00A61918" w:rsidRDefault="00000000">
      <w:pPr>
        <w:rPr>
          <w:lang w:val="en-US"/>
        </w:rPr>
      </w:pPr>
    </w:p>
    <w:p w14:paraId="7BCE91C0" w14:textId="77777777" w:rsidR="00592A18" w:rsidRPr="00592A18" w:rsidRDefault="00592A18" w:rsidP="00592A18">
      <w:pPr>
        <w:pStyle w:val="dcr-1lpi6p1"/>
        <w:shd w:val="clear" w:color="auto" w:fill="FFFFFF"/>
        <w:spacing w:before="0" w:beforeAutospacing="0" w:after="210" w:afterAutospacing="0"/>
        <w:textAlignment w:val="baseline"/>
        <w:rPr>
          <w:rFonts w:ascii="Georgia" w:hAnsi="Georgia"/>
          <w:color w:val="121212"/>
          <w:lang w:val="en-US"/>
        </w:rPr>
      </w:pPr>
      <w:r w:rsidRPr="00592A18">
        <w:rPr>
          <w:rFonts w:ascii="Georgia" w:hAnsi="Georgia"/>
          <w:color w:val="121212"/>
          <w:lang w:val="en-US"/>
        </w:rPr>
        <w:t>Children with more green space near their homes have significantly stronger bones, a study has found, potentially leading to lifelong health benefits.</w:t>
      </w:r>
    </w:p>
    <w:p w14:paraId="3EBA5D73" w14:textId="77777777" w:rsidR="00592A18" w:rsidRPr="00592A18" w:rsidRDefault="00592A18" w:rsidP="00592A18">
      <w:pPr>
        <w:pStyle w:val="dcr-1lpi6p1"/>
        <w:shd w:val="clear" w:color="auto" w:fill="FFFFFF"/>
        <w:spacing w:before="0" w:beforeAutospacing="0" w:after="210" w:afterAutospacing="0"/>
        <w:textAlignment w:val="baseline"/>
        <w:rPr>
          <w:rFonts w:ascii="Georgia" w:hAnsi="Georgia"/>
          <w:color w:val="121212"/>
          <w:lang w:val="en-US"/>
        </w:rPr>
      </w:pPr>
      <w:r w:rsidRPr="00592A18">
        <w:rPr>
          <w:rFonts w:ascii="Georgia" w:hAnsi="Georgia"/>
          <w:color w:val="121212"/>
          <w:lang w:val="en-US"/>
        </w:rPr>
        <w:t>Scientists found that the children living in places with 20-25% more natural areas had increased bone strength that was equivalent to half a year’s natural growth.</w:t>
      </w:r>
    </w:p>
    <w:p w14:paraId="0E9FD16F" w14:textId="77777777" w:rsidR="00592A18" w:rsidRPr="00592A18" w:rsidRDefault="00592A18" w:rsidP="00592A18">
      <w:pPr>
        <w:pStyle w:val="dcr-1lpi6p1"/>
        <w:shd w:val="clear" w:color="auto" w:fill="FFFFFF"/>
        <w:spacing w:before="0" w:beforeAutospacing="0" w:after="210" w:afterAutospacing="0"/>
        <w:textAlignment w:val="baseline"/>
        <w:rPr>
          <w:rFonts w:ascii="Georgia" w:hAnsi="Georgia"/>
          <w:color w:val="121212"/>
          <w:lang w:val="en-US"/>
        </w:rPr>
      </w:pPr>
      <w:r w:rsidRPr="00592A18">
        <w:rPr>
          <w:rFonts w:ascii="Georgia" w:hAnsi="Georgia"/>
          <w:color w:val="121212"/>
          <w:lang w:val="en-US"/>
        </w:rPr>
        <w:t>The study, the first of its kind, also found that the risk of having very low bone density was about 65% lower for these children.</w:t>
      </w:r>
    </w:p>
    <w:p w14:paraId="24323BD5" w14:textId="77777777" w:rsidR="00592A18" w:rsidRPr="00592A18" w:rsidRDefault="00592A18" w:rsidP="00592A18">
      <w:pPr>
        <w:pStyle w:val="dcr-1lpi6p1"/>
        <w:shd w:val="clear" w:color="auto" w:fill="FFFFFF"/>
        <w:spacing w:before="0" w:beforeAutospacing="0" w:after="210" w:afterAutospacing="0"/>
        <w:textAlignment w:val="baseline"/>
        <w:rPr>
          <w:rFonts w:ascii="Georgia" w:hAnsi="Georgia"/>
          <w:color w:val="121212"/>
          <w:lang w:val="en-US"/>
        </w:rPr>
      </w:pPr>
      <w:r w:rsidRPr="00592A18">
        <w:rPr>
          <w:rFonts w:ascii="Georgia" w:hAnsi="Georgia"/>
          <w:color w:val="121212"/>
          <w:lang w:val="en-US"/>
        </w:rPr>
        <w:t>Bone strength grows in childhood and adolescence, before plateauing until about the age of 50 and then declining. Increasing the size and accessibility of green spaces for children could therefore prevent fractures and osteoporosis in older people, the researchers said.</w:t>
      </w:r>
    </w:p>
    <w:p w14:paraId="38C0B016" w14:textId="77777777" w:rsidR="00592A18" w:rsidRPr="00592A18" w:rsidRDefault="00592A18" w:rsidP="00592A18">
      <w:pPr>
        <w:spacing w:after="210"/>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The link between green spaces and stronger bones is likely to result from higher levels of physical activity in children who live near parks, as this spurs bone growth. The connection was strongest for green spaces with trees, which the scientists said may be because these were more attractive places to visit.</w:t>
      </w:r>
    </w:p>
    <w:p w14:paraId="532FFD8E" w14:textId="77777777" w:rsidR="00592A18" w:rsidRPr="00592A18" w:rsidRDefault="00592A18" w:rsidP="00592A18">
      <w:pPr>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 xml:space="preserve">“The stronger the bone mass is during childhood, the more capacity you have for later in life,” said Prof Tim </w:t>
      </w:r>
      <w:proofErr w:type="spellStart"/>
      <w:r w:rsidRPr="00592A18">
        <w:rPr>
          <w:rFonts w:ascii="Georgia" w:eastAsia="Times New Roman" w:hAnsi="Georgia" w:cs="Times New Roman"/>
          <w:lang w:val="en-US" w:eastAsia="sv-SE"/>
        </w:rPr>
        <w:t>Nawrot</w:t>
      </w:r>
      <w:proofErr w:type="spellEnd"/>
      <w:r w:rsidRPr="00592A18">
        <w:rPr>
          <w:rFonts w:ascii="Georgia" w:eastAsia="Times New Roman" w:hAnsi="Georgia" w:cs="Times New Roman"/>
          <w:lang w:val="en-US" w:eastAsia="sv-SE"/>
        </w:rPr>
        <w:t>, at Hasselt University in </w:t>
      </w:r>
      <w:hyperlink r:id="rId4" w:history="1">
        <w:r w:rsidRPr="00592A18">
          <w:rPr>
            <w:rFonts w:ascii="Georgia" w:eastAsia="Times New Roman" w:hAnsi="Georgia" w:cs="Times New Roman"/>
            <w:color w:val="0000FF"/>
            <w:u w:val="single"/>
            <w:bdr w:val="none" w:sz="0" w:space="0" w:color="auto" w:frame="1"/>
            <w:lang w:val="en-US" w:eastAsia="sv-SE"/>
          </w:rPr>
          <w:t>Belgium</w:t>
        </w:r>
      </w:hyperlink>
      <w:r w:rsidRPr="00592A18">
        <w:rPr>
          <w:rFonts w:ascii="Georgia" w:eastAsia="Times New Roman" w:hAnsi="Georgia" w:cs="Times New Roman"/>
          <w:lang w:val="en-US" w:eastAsia="sv-SE"/>
        </w:rPr>
        <w:t xml:space="preserve">, who was part of the study team with Dr Hanne </w:t>
      </w:r>
      <w:proofErr w:type="spellStart"/>
      <w:r w:rsidRPr="00592A18">
        <w:rPr>
          <w:rFonts w:ascii="Georgia" w:eastAsia="Times New Roman" w:hAnsi="Georgia" w:cs="Times New Roman"/>
          <w:lang w:val="en-US" w:eastAsia="sv-SE"/>
        </w:rPr>
        <w:t>Sleurs</w:t>
      </w:r>
      <w:proofErr w:type="spellEnd"/>
      <w:r w:rsidRPr="00592A18">
        <w:rPr>
          <w:rFonts w:ascii="Georgia" w:eastAsia="Times New Roman" w:hAnsi="Georgia" w:cs="Times New Roman"/>
          <w:lang w:val="en-US" w:eastAsia="sv-SE"/>
        </w:rPr>
        <w:t xml:space="preserve"> and others. “</w:t>
      </w:r>
      <w:proofErr w:type="gramStart"/>
      <w:r w:rsidRPr="00592A18">
        <w:rPr>
          <w:rFonts w:ascii="Georgia" w:eastAsia="Times New Roman" w:hAnsi="Georgia" w:cs="Times New Roman"/>
          <w:lang w:val="en-US" w:eastAsia="sv-SE"/>
        </w:rPr>
        <w:t>So</w:t>
      </w:r>
      <w:proofErr w:type="gramEnd"/>
      <w:r w:rsidRPr="00592A18">
        <w:rPr>
          <w:rFonts w:ascii="Georgia" w:eastAsia="Times New Roman" w:hAnsi="Georgia" w:cs="Times New Roman"/>
          <w:lang w:val="en-US" w:eastAsia="sv-SE"/>
        </w:rPr>
        <w:t xml:space="preserve"> the real public health message from this study is that urban planners can make stronger bones of children, and that has long-lasting consequences.”</w:t>
      </w:r>
    </w:p>
    <w:p w14:paraId="731F07F3" w14:textId="77777777" w:rsidR="00592A18" w:rsidRPr="00592A18" w:rsidRDefault="00592A18" w:rsidP="00592A18">
      <w:pPr>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Previous research has found greater access to green spaces increases physical activity in children. Studies have also discovered </w:t>
      </w:r>
      <w:hyperlink r:id="rId5" w:history="1">
        <w:r w:rsidRPr="00592A18">
          <w:rPr>
            <w:rFonts w:ascii="Georgia" w:eastAsia="Times New Roman" w:hAnsi="Georgia" w:cs="Times New Roman"/>
            <w:color w:val="0000FF"/>
            <w:u w:val="single"/>
            <w:bdr w:val="none" w:sz="0" w:space="0" w:color="auto" w:frame="1"/>
            <w:lang w:val="en-US" w:eastAsia="sv-SE"/>
          </w:rPr>
          <w:t>multiple benefits</w:t>
        </w:r>
      </w:hyperlink>
      <w:r w:rsidRPr="00592A18">
        <w:rPr>
          <w:rFonts w:ascii="Georgia" w:eastAsia="Times New Roman" w:hAnsi="Georgia" w:cs="Times New Roman"/>
          <w:lang w:val="en-US" w:eastAsia="sv-SE"/>
        </w:rPr>
        <w:t> for child development, including a lower risk of being overweight, lower blood pressure, </w:t>
      </w:r>
      <w:hyperlink r:id="rId6" w:history="1">
        <w:r w:rsidRPr="00592A18">
          <w:rPr>
            <w:rFonts w:ascii="Georgia" w:eastAsia="Times New Roman" w:hAnsi="Georgia" w:cs="Times New Roman"/>
            <w:color w:val="0000FF"/>
            <w:u w:val="single"/>
            <w:bdr w:val="none" w:sz="0" w:space="0" w:color="auto" w:frame="1"/>
            <w:lang w:val="en-US" w:eastAsia="sv-SE"/>
          </w:rPr>
          <w:t>higher IQs</w:t>
        </w:r>
      </w:hyperlink>
      <w:r w:rsidRPr="00592A18">
        <w:rPr>
          <w:rFonts w:ascii="Georgia" w:eastAsia="Times New Roman" w:hAnsi="Georgia" w:cs="Times New Roman"/>
          <w:lang w:val="en-US" w:eastAsia="sv-SE"/>
        </w:rPr>
        <w:t> and </w:t>
      </w:r>
      <w:hyperlink r:id="rId7" w:history="1">
        <w:r w:rsidRPr="00592A18">
          <w:rPr>
            <w:rFonts w:ascii="Georgia" w:eastAsia="Times New Roman" w:hAnsi="Georgia" w:cs="Times New Roman"/>
            <w:color w:val="0000FF"/>
            <w:u w:val="single"/>
            <w:bdr w:val="none" w:sz="0" w:space="0" w:color="auto" w:frame="1"/>
            <w:lang w:val="en-US" w:eastAsia="sv-SE"/>
          </w:rPr>
          <w:t>better mental</w:t>
        </w:r>
      </w:hyperlink>
      <w:r w:rsidRPr="00592A18">
        <w:rPr>
          <w:rFonts w:ascii="Georgia" w:eastAsia="Times New Roman" w:hAnsi="Georgia" w:cs="Times New Roman"/>
          <w:lang w:val="en-US" w:eastAsia="sv-SE"/>
        </w:rPr>
        <w:t> and </w:t>
      </w:r>
      <w:hyperlink r:id="rId8" w:history="1">
        <w:r w:rsidRPr="00592A18">
          <w:rPr>
            <w:rFonts w:ascii="Georgia" w:eastAsia="Times New Roman" w:hAnsi="Georgia" w:cs="Times New Roman"/>
            <w:color w:val="0000FF"/>
            <w:u w:val="single"/>
            <w:bdr w:val="none" w:sz="0" w:space="0" w:color="auto" w:frame="1"/>
            <w:lang w:val="en-US" w:eastAsia="sv-SE"/>
          </w:rPr>
          <w:t>emotional wellbeing</w:t>
        </w:r>
      </w:hyperlink>
      <w:r w:rsidRPr="00592A18">
        <w:rPr>
          <w:rFonts w:ascii="Georgia" w:eastAsia="Times New Roman" w:hAnsi="Georgia" w:cs="Times New Roman"/>
          <w:lang w:val="en-US" w:eastAsia="sv-SE"/>
        </w:rPr>
        <w:t>.</w:t>
      </w:r>
    </w:p>
    <w:p w14:paraId="0880ED8A" w14:textId="77777777" w:rsidR="00592A18" w:rsidRPr="00592A18" w:rsidRDefault="00592A18" w:rsidP="00592A18">
      <w:pPr>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Green spaces are </w:t>
      </w:r>
      <w:hyperlink r:id="rId9" w:history="1">
        <w:r w:rsidRPr="00592A18">
          <w:rPr>
            <w:rFonts w:ascii="Georgia" w:eastAsia="Times New Roman" w:hAnsi="Georgia" w:cs="Times New Roman"/>
            <w:color w:val="0000FF"/>
            <w:u w:val="single"/>
            <w:bdr w:val="none" w:sz="0" w:space="0" w:color="auto" w:frame="1"/>
            <w:lang w:val="en-US" w:eastAsia="sv-SE"/>
          </w:rPr>
          <w:t>also linked</w:t>
        </w:r>
      </w:hyperlink>
      <w:r w:rsidRPr="00592A18">
        <w:rPr>
          <w:rFonts w:ascii="Georgia" w:eastAsia="Times New Roman" w:hAnsi="Georgia" w:cs="Times New Roman"/>
          <w:lang w:val="en-US" w:eastAsia="sv-SE"/>
        </w:rPr>
        <w:t> to </w:t>
      </w:r>
      <w:hyperlink r:id="rId10" w:history="1">
        <w:r w:rsidRPr="00592A18">
          <w:rPr>
            <w:rFonts w:ascii="Georgia" w:eastAsia="Times New Roman" w:hAnsi="Georgia" w:cs="Times New Roman"/>
            <w:color w:val="0000FF"/>
            <w:u w:val="single"/>
            <w:bdr w:val="none" w:sz="0" w:space="0" w:color="auto" w:frame="1"/>
            <w:lang w:val="en-US" w:eastAsia="sv-SE"/>
          </w:rPr>
          <w:t>better physical</w:t>
        </w:r>
      </w:hyperlink>
      <w:r w:rsidRPr="00592A18">
        <w:rPr>
          <w:rFonts w:ascii="Georgia" w:eastAsia="Times New Roman" w:hAnsi="Georgia" w:cs="Times New Roman"/>
          <w:lang w:val="en-US" w:eastAsia="sv-SE"/>
        </w:rPr>
        <w:t> and </w:t>
      </w:r>
      <w:hyperlink r:id="rId11" w:history="1">
        <w:r w:rsidRPr="00592A18">
          <w:rPr>
            <w:rFonts w:ascii="Georgia" w:eastAsia="Times New Roman" w:hAnsi="Georgia" w:cs="Times New Roman"/>
            <w:color w:val="0000FF"/>
            <w:u w:val="single"/>
            <w:bdr w:val="none" w:sz="0" w:space="0" w:color="auto" w:frame="1"/>
            <w:lang w:val="en-US" w:eastAsia="sv-SE"/>
          </w:rPr>
          <w:t>mental health</w:t>
        </w:r>
      </w:hyperlink>
      <w:r w:rsidRPr="00592A18">
        <w:rPr>
          <w:rFonts w:ascii="Georgia" w:eastAsia="Times New Roman" w:hAnsi="Georgia" w:cs="Times New Roman"/>
          <w:lang w:val="en-US" w:eastAsia="sv-SE"/>
        </w:rPr>
        <w:t> in adults. </w:t>
      </w:r>
      <w:hyperlink r:id="rId12" w:history="1">
        <w:r w:rsidRPr="00592A18">
          <w:rPr>
            <w:rFonts w:ascii="Georgia" w:eastAsia="Times New Roman" w:hAnsi="Georgia" w:cs="Times New Roman"/>
            <w:color w:val="0000FF"/>
            <w:u w:val="single"/>
            <w:bdr w:val="none" w:sz="0" w:space="0" w:color="auto" w:frame="1"/>
            <w:lang w:val="en-US" w:eastAsia="sv-SE"/>
          </w:rPr>
          <w:t>Woodland walks</w:t>
        </w:r>
      </w:hyperlink>
      <w:r w:rsidRPr="00592A18">
        <w:rPr>
          <w:rFonts w:ascii="Georgia" w:eastAsia="Times New Roman" w:hAnsi="Georgia" w:cs="Times New Roman"/>
          <w:lang w:val="en-US" w:eastAsia="sv-SE"/>
        </w:rPr>
        <w:t> are estimated to save £185m a year in mental health costs in the UK.</w:t>
      </w:r>
    </w:p>
    <w:p w14:paraId="55258F23" w14:textId="77777777" w:rsidR="00592A18" w:rsidRPr="00592A18" w:rsidRDefault="00592A18" w:rsidP="00592A18">
      <w:pPr>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The study, </w:t>
      </w:r>
      <w:hyperlink r:id="rId13" w:history="1">
        <w:r w:rsidRPr="00592A18">
          <w:rPr>
            <w:rFonts w:ascii="Georgia" w:eastAsia="Times New Roman" w:hAnsi="Georgia" w:cs="Times New Roman"/>
            <w:color w:val="0000FF"/>
            <w:u w:val="single"/>
            <w:bdr w:val="none" w:sz="0" w:space="0" w:color="auto" w:frame="1"/>
            <w:lang w:val="en-US" w:eastAsia="sv-SE"/>
          </w:rPr>
          <w:t>published in the journal JAMA Network Open</w:t>
        </w:r>
      </w:hyperlink>
      <w:r w:rsidRPr="00592A18">
        <w:rPr>
          <w:rFonts w:ascii="Georgia" w:eastAsia="Times New Roman" w:hAnsi="Georgia" w:cs="Times New Roman"/>
          <w:lang w:val="en-US" w:eastAsia="sv-SE"/>
        </w:rPr>
        <w:t>, followed more than 300 children in a region of Flanders, Belgium, that included urban, suburban and rural areas.</w:t>
      </w:r>
    </w:p>
    <w:p w14:paraId="1CF120E9" w14:textId="77777777" w:rsidR="00592A18" w:rsidRPr="00592A18" w:rsidRDefault="00592A18" w:rsidP="00592A18">
      <w:pPr>
        <w:spacing w:after="210"/>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 xml:space="preserve">Scientist used ultrasound to measure the bone density of the children at ages from four to six years old. The child’s age, weight, height, </w:t>
      </w:r>
      <w:proofErr w:type="gramStart"/>
      <w:r w:rsidRPr="00592A18">
        <w:rPr>
          <w:rFonts w:ascii="Georgia" w:eastAsia="Times New Roman" w:hAnsi="Georgia" w:cs="Times New Roman"/>
          <w:lang w:val="en-US" w:eastAsia="sv-SE"/>
        </w:rPr>
        <w:t>ethnicity</w:t>
      </w:r>
      <w:proofErr w:type="gramEnd"/>
      <w:r w:rsidRPr="00592A18">
        <w:rPr>
          <w:rFonts w:ascii="Georgia" w:eastAsia="Times New Roman" w:hAnsi="Georgia" w:cs="Times New Roman"/>
          <w:lang w:val="en-US" w:eastAsia="sv-SE"/>
        </w:rPr>
        <w:t xml:space="preserve"> and their mother’s level of education were taken into account.</w:t>
      </w:r>
    </w:p>
    <w:p w14:paraId="69885366" w14:textId="77777777" w:rsidR="00592A18" w:rsidRPr="00592A18" w:rsidRDefault="00592A18" w:rsidP="00592A18">
      <w:pPr>
        <w:spacing w:after="210"/>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 xml:space="preserve">The results showed, for example, that children with 25% more green space within 1,000 </w:t>
      </w:r>
      <w:proofErr w:type="spellStart"/>
      <w:r w:rsidRPr="00592A18">
        <w:rPr>
          <w:rFonts w:ascii="Georgia" w:eastAsia="Times New Roman" w:hAnsi="Georgia" w:cs="Times New Roman"/>
          <w:lang w:val="en-US" w:eastAsia="sv-SE"/>
        </w:rPr>
        <w:t>metres</w:t>
      </w:r>
      <w:proofErr w:type="spellEnd"/>
      <w:r w:rsidRPr="00592A18">
        <w:rPr>
          <w:rFonts w:ascii="Georgia" w:eastAsia="Times New Roman" w:hAnsi="Georgia" w:cs="Times New Roman"/>
          <w:lang w:val="en-US" w:eastAsia="sv-SE"/>
        </w:rPr>
        <w:t xml:space="preserve"> of their home had a 66% lower risk of having very low bone density, </w:t>
      </w:r>
      <w:proofErr w:type="spellStart"/>
      <w:proofErr w:type="gramStart"/>
      <w:r w:rsidRPr="00592A18">
        <w:rPr>
          <w:rFonts w:ascii="Georgia" w:eastAsia="Times New Roman" w:hAnsi="Georgia" w:cs="Times New Roman"/>
          <w:lang w:val="en-US" w:eastAsia="sv-SE"/>
        </w:rPr>
        <w:t>ie</w:t>
      </w:r>
      <w:proofErr w:type="spellEnd"/>
      <w:proofErr w:type="gramEnd"/>
      <w:r w:rsidRPr="00592A18">
        <w:rPr>
          <w:rFonts w:ascii="Georgia" w:eastAsia="Times New Roman" w:hAnsi="Georgia" w:cs="Times New Roman"/>
          <w:lang w:val="en-US" w:eastAsia="sv-SE"/>
        </w:rPr>
        <w:t xml:space="preserve"> of being in the lowest 10% of measurements. No difference was found between the boys and the girls in the study.</w:t>
      </w:r>
    </w:p>
    <w:p w14:paraId="2DF45835" w14:textId="77777777" w:rsidR="00592A18" w:rsidRPr="00592A18" w:rsidRDefault="00592A18" w:rsidP="00592A18">
      <w:pPr>
        <w:spacing w:after="210"/>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 xml:space="preserve">The researchers said the results </w:t>
      </w:r>
      <w:proofErr w:type="gramStart"/>
      <w:r w:rsidRPr="00592A18">
        <w:rPr>
          <w:rFonts w:ascii="Georgia" w:eastAsia="Times New Roman" w:hAnsi="Georgia" w:cs="Times New Roman"/>
          <w:lang w:val="en-US" w:eastAsia="sv-SE"/>
        </w:rPr>
        <w:t>were</w:t>
      </w:r>
      <w:proofErr w:type="gramEnd"/>
      <w:r w:rsidRPr="00592A18">
        <w:rPr>
          <w:rFonts w:ascii="Georgia" w:eastAsia="Times New Roman" w:hAnsi="Georgia" w:cs="Times New Roman"/>
          <w:lang w:val="en-US" w:eastAsia="sv-SE"/>
        </w:rPr>
        <w:t xml:space="preserve"> important as low bone growth at a young age was as crucial to the onset of osteoporosis as bone loss through ageing.</w:t>
      </w:r>
    </w:p>
    <w:p w14:paraId="11E8AF2A" w14:textId="77777777" w:rsidR="00592A18" w:rsidRPr="00592A18" w:rsidRDefault="00592A18" w:rsidP="00592A18">
      <w:pPr>
        <w:spacing w:after="210"/>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lastRenderedPageBreak/>
        <w:t xml:space="preserve">Screen time, vitamin supplements and daily consumption of dairy products were also tested to see if they affected the children’s </w:t>
      </w:r>
      <w:proofErr w:type="gramStart"/>
      <w:r w:rsidRPr="00592A18">
        <w:rPr>
          <w:rFonts w:ascii="Georgia" w:eastAsia="Times New Roman" w:hAnsi="Georgia" w:cs="Times New Roman"/>
          <w:lang w:val="en-US" w:eastAsia="sv-SE"/>
        </w:rPr>
        <w:t>results</w:t>
      </w:r>
      <w:proofErr w:type="gramEnd"/>
      <w:r w:rsidRPr="00592A18">
        <w:rPr>
          <w:rFonts w:ascii="Georgia" w:eastAsia="Times New Roman" w:hAnsi="Georgia" w:cs="Times New Roman"/>
          <w:lang w:val="en-US" w:eastAsia="sv-SE"/>
        </w:rPr>
        <w:t xml:space="preserve"> but no significant impacts were found.</w:t>
      </w:r>
    </w:p>
    <w:p w14:paraId="2694A3CB" w14:textId="77777777" w:rsidR="00592A18" w:rsidRPr="00592A18" w:rsidRDefault="00592A18" w:rsidP="00592A18">
      <w:pPr>
        <w:spacing w:after="210"/>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 xml:space="preserve">The study showed a strong association between nearby green space and bone strength in children but was not set up to show a causal link. To do that, children would need to wear accelerometers to record their physical activity. “That would not be a very easy experiment to do,” </w:t>
      </w:r>
      <w:proofErr w:type="spellStart"/>
      <w:r w:rsidRPr="00592A18">
        <w:rPr>
          <w:rFonts w:ascii="Georgia" w:eastAsia="Times New Roman" w:hAnsi="Georgia" w:cs="Times New Roman"/>
          <w:lang w:val="en-US" w:eastAsia="sv-SE"/>
        </w:rPr>
        <w:t>Nawrot</w:t>
      </w:r>
      <w:proofErr w:type="spellEnd"/>
      <w:r w:rsidRPr="00592A18">
        <w:rPr>
          <w:rFonts w:ascii="Georgia" w:eastAsia="Times New Roman" w:hAnsi="Georgia" w:cs="Times New Roman"/>
          <w:lang w:val="en-US" w:eastAsia="sv-SE"/>
        </w:rPr>
        <w:t xml:space="preserve"> said.</w:t>
      </w:r>
    </w:p>
    <w:p w14:paraId="2F5C6BCD" w14:textId="77777777" w:rsidR="00592A18" w:rsidRPr="00592A18" w:rsidRDefault="00592A18" w:rsidP="00592A18">
      <w:pPr>
        <w:textAlignment w:val="baseline"/>
        <w:rPr>
          <w:rFonts w:ascii="Georgia" w:eastAsia="Times New Roman" w:hAnsi="Georgia" w:cs="Times New Roman"/>
          <w:lang w:val="en-US" w:eastAsia="sv-SE"/>
        </w:rPr>
      </w:pPr>
      <w:r w:rsidRPr="00592A18">
        <w:rPr>
          <w:rFonts w:ascii="Georgia" w:eastAsia="Times New Roman" w:hAnsi="Georgia" w:cs="Times New Roman"/>
          <w:lang w:val="en-US" w:eastAsia="sv-SE"/>
        </w:rPr>
        <w:t>Two recent studies on bone density in adults and green spaces produced conflicting results. An </w:t>
      </w:r>
      <w:hyperlink r:id="rId14" w:history="1">
        <w:r w:rsidRPr="00592A18">
          <w:rPr>
            <w:rFonts w:ascii="Georgia" w:eastAsia="Times New Roman" w:hAnsi="Georgia" w:cs="Times New Roman"/>
            <w:color w:val="0000FF"/>
            <w:u w:val="single"/>
            <w:bdr w:val="none" w:sz="0" w:space="0" w:color="auto" w:frame="1"/>
            <w:lang w:val="en-US" w:eastAsia="sv-SE"/>
          </w:rPr>
          <w:t>analysis</w:t>
        </w:r>
      </w:hyperlink>
      <w:r w:rsidRPr="00592A18">
        <w:rPr>
          <w:rFonts w:ascii="Georgia" w:eastAsia="Times New Roman" w:hAnsi="Georgia" w:cs="Times New Roman"/>
          <w:lang w:val="en-US" w:eastAsia="sv-SE"/>
        </w:rPr>
        <w:t> of 66,000 people in south-west China found a significant positive link. But </w:t>
      </w:r>
      <w:hyperlink r:id="rId15" w:history="1">
        <w:r w:rsidRPr="00592A18">
          <w:rPr>
            <w:rFonts w:ascii="Georgia" w:eastAsia="Times New Roman" w:hAnsi="Georgia" w:cs="Times New Roman"/>
            <w:color w:val="0000FF"/>
            <w:u w:val="single"/>
            <w:bdr w:val="none" w:sz="0" w:space="0" w:color="auto" w:frame="1"/>
            <w:lang w:val="en-US" w:eastAsia="sv-SE"/>
          </w:rPr>
          <w:t>research</w:t>
        </w:r>
      </w:hyperlink>
      <w:r w:rsidRPr="00592A18">
        <w:rPr>
          <w:rFonts w:ascii="Georgia" w:eastAsia="Times New Roman" w:hAnsi="Georgia" w:cs="Times New Roman"/>
          <w:lang w:val="en-US" w:eastAsia="sv-SE"/>
        </w:rPr>
        <w:t> on 4,000 people aged 65 and older in Hong Kong did not find a convincing association, possibly because Hong Kong is a very densely populated city with little green space.</w:t>
      </w:r>
    </w:p>
    <w:p w14:paraId="07A07523" w14:textId="77777777" w:rsidR="00592A18" w:rsidRPr="00592A18" w:rsidRDefault="00592A18" w:rsidP="00592A18">
      <w:pPr>
        <w:textAlignment w:val="baseline"/>
        <w:rPr>
          <w:rFonts w:ascii="Times New Roman" w:eastAsia="Times New Roman" w:hAnsi="Times New Roman" w:cs="Times New Roman"/>
          <w:lang w:val="en-US" w:eastAsia="sv-SE"/>
        </w:rPr>
      </w:pPr>
    </w:p>
    <w:p w14:paraId="5C857463" w14:textId="77777777" w:rsidR="00592A18" w:rsidRPr="00592A18" w:rsidRDefault="00592A18"/>
    <w:sectPr w:rsidR="00592A18" w:rsidRPr="00592A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A18"/>
    <w:rsid w:val="000C56FD"/>
    <w:rsid w:val="004363BC"/>
    <w:rsid w:val="00592A18"/>
    <w:rsid w:val="00735E50"/>
    <w:rsid w:val="00750D5A"/>
    <w:rsid w:val="0084135D"/>
    <w:rsid w:val="009139FD"/>
    <w:rsid w:val="00E44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972ECA3"/>
  <w15:chartTrackingRefBased/>
  <w15:docId w15:val="{AC13F4EE-C23D-3A45-97B9-0344E991A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link w:val="Rubrik1Char"/>
    <w:uiPriority w:val="9"/>
    <w:qFormat/>
    <w:rsid w:val="00592A18"/>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592A18"/>
    <w:rPr>
      <w:rFonts w:ascii="Times New Roman" w:eastAsia="Times New Roman" w:hAnsi="Times New Roman" w:cs="Times New Roman"/>
      <w:b/>
      <w:bCs/>
      <w:kern w:val="36"/>
      <w:sz w:val="48"/>
      <w:szCs w:val="48"/>
      <w:lang w:eastAsia="sv-SE"/>
    </w:rPr>
  </w:style>
  <w:style w:type="paragraph" w:styleId="Normalwebb">
    <w:name w:val="Normal (Web)"/>
    <w:basedOn w:val="Normal"/>
    <w:uiPriority w:val="99"/>
    <w:semiHidden/>
    <w:unhideWhenUsed/>
    <w:rsid w:val="00592A18"/>
    <w:pPr>
      <w:spacing w:before="100" w:beforeAutospacing="1" w:after="100" w:afterAutospacing="1"/>
    </w:pPr>
    <w:rPr>
      <w:rFonts w:ascii="Times New Roman" w:eastAsia="Times New Roman" w:hAnsi="Times New Roman" w:cs="Times New Roman"/>
      <w:lang w:eastAsia="sv-SE"/>
    </w:rPr>
  </w:style>
  <w:style w:type="paragraph" w:customStyle="1" w:styleId="dcr-1lpi6p1">
    <w:name w:val="dcr-1lpi6p1"/>
    <w:basedOn w:val="Normal"/>
    <w:rsid w:val="00592A18"/>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semiHidden/>
    <w:unhideWhenUsed/>
    <w:rsid w:val="00592A18"/>
    <w:rPr>
      <w:color w:val="0000FF"/>
      <w:u w:val="single"/>
    </w:rPr>
  </w:style>
  <w:style w:type="paragraph" w:styleId="HTML-frformaterad">
    <w:name w:val="HTML Preformatted"/>
    <w:basedOn w:val="Normal"/>
    <w:link w:val="HTML-frformateradChar"/>
    <w:uiPriority w:val="99"/>
    <w:semiHidden/>
    <w:unhideWhenUsed/>
    <w:rsid w:val="005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sv-SE"/>
    </w:rPr>
  </w:style>
  <w:style w:type="character" w:customStyle="1" w:styleId="HTML-frformateradChar">
    <w:name w:val="HTML - förformaterad Char"/>
    <w:basedOn w:val="Standardstycketeckensnitt"/>
    <w:link w:val="HTML-frformaterad"/>
    <w:uiPriority w:val="99"/>
    <w:semiHidden/>
    <w:rsid w:val="00592A18"/>
    <w:rPr>
      <w:rFonts w:ascii="Courier New" w:eastAsia="Times New Roman" w:hAnsi="Courier New" w:cs="Courier New"/>
      <w:sz w:val="20"/>
      <w:szCs w:val="20"/>
      <w:lang w:eastAsia="sv-SE"/>
    </w:rPr>
  </w:style>
  <w:style w:type="character" w:customStyle="1" w:styleId="y2iqfc">
    <w:name w:val="y2iqfc"/>
    <w:basedOn w:val="Standardstycketeckensnitt"/>
    <w:rsid w:val="00592A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7131">
      <w:bodyDiv w:val="1"/>
      <w:marLeft w:val="0"/>
      <w:marRight w:val="0"/>
      <w:marTop w:val="0"/>
      <w:marBottom w:val="0"/>
      <w:divBdr>
        <w:top w:val="none" w:sz="0" w:space="0" w:color="auto"/>
        <w:left w:val="none" w:sz="0" w:space="0" w:color="auto"/>
        <w:bottom w:val="none" w:sz="0" w:space="0" w:color="auto"/>
        <w:right w:val="none" w:sz="0" w:space="0" w:color="auto"/>
      </w:divBdr>
    </w:div>
    <w:div w:id="77212276">
      <w:bodyDiv w:val="1"/>
      <w:marLeft w:val="0"/>
      <w:marRight w:val="0"/>
      <w:marTop w:val="0"/>
      <w:marBottom w:val="0"/>
      <w:divBdr>
        <w:top w:val="none" w:sz="0" w:space="0" w:color="auto"/>
        <w:left w:val="none" w:sz="0" w:space="0" w:color="auto"/>
        <w:bottom w:val="none" w:sz="0" w:space="0" w:color="auto"/>
        <w:right w:val="none" w:sz="0" w:space="0" w:color="auto"/>
      </w:divBdr>
      <w:divsChild>
        <w:div w:id="1881236729">
          <w:marLeft w:val="0"/>
          <w:marRight w:val="0"/>
          <w:marTop w:val="0"/>
          <w:marBottom w:val="0"/>
          <w:divBdr>
            <w:top w:val="none" w:sz="0" w:space="0" w:color="auto"/>
            <w:left w:val="none" w:sz="0" w:space="0" w:color="auto"/>
            <w:bottom w:val="none" w:sz="0" w:space="0" w:color="auto"/>
            <w:right w:val="none" w:sz="0" w:space="0" w:color="auto"/>
          </w:divBdr>
          <w:divsChild>
            <w:div w:id="1200977391">
              <w:marLeft w:val="0"/>
              <w:marRight w:val="0"/>
              <w:marTop w:val="0"/>
              <w:marBottom w:val="0"/>
              <w:divBdr>
                <w:top w:val="none" w:sz="0" w:space="0" w:color="auto"/>
                <w:left w:val="none" w:sz="0" w:space="0" w:color="auto"/>
                <w:bottom w:val="none" w:sz="0" w:space="0" w:color="auto"/>
                <w:right w:val="none" w:sz="0" w:space="0" w:color="auto"/>
              </w:divBdr>
            </w:div>
          </w:divsChild>
        </w:div>
        <w:div w:id="983198631">
          <w:marLeft w:val="0"/>
          <w:marRight w:val="0"/>
          <w:marTop w:val="0"/>
          <w:marBottom w:val="0"/>
          <w:divBdr>
            <w:top w:val="none" w:sz="0" w:space="0" w:color="auto"/>
            <w:left w:val="none" w:sz="0" w:space="0" w:color="auto"/>
            <w:bottom w:val="none" w:sz="0" w:space="0" w:color="auto"/>
            <w:right w:val="none" w:sz="0" w:space="0" w:color="auto"/>
          </w:divBdr>
          <w:divsChild>
            <w:div w:id="1266498259">
              <w:marLeft w:val="0"/>
              <w:marRight w:val="0"/>
              <w:marTop w:val="270"/>
              <w:marBottom w:val="270"/>
              <w:divBdr>
                <w:top w:val="none" w:sz="0" w:space="0" w:color="auto"/>
                <w:left w:val="none" w:sz="0" w:space="0" w:color="auto"/>
                <w:bottom w:val="none" w:sz="0" w:space="0" w:color="auto"/>
                <w:right w:val="none" w:sz="0" w:space="0" w:color="auto"/>
              </w:divBdr>
            </w:div>
          </w:divsChild>
        </w:div>
      </w:divsChild>
    </w:div>
    <w:div w:id="631832948">
      <w:bodyDiv w:val="1"/>
      <w:marLeft w:val="0"/>
      <w:marRight w:val="0"/>
      <w:marTop w:val="0"/>
      <w:marBottom w:val="0"/>
      <w:divBdr>
        <w:top w:val="none" w:sz="0" w:space="0" w:color="auto"/>
        <w:left w:val="none" w:sz="0" w:space="0" w:color="auto"/>
        <w:bottom w:val="none" w:sz="0" w:space="0" w:color="auto"/>
        <w:right w:val="none" w:sz="0" w:space="0" w:color="auto"/>
      </w:divBdr>
      <w:divsChild>
        <w:div w:id="1698433395">
          <w:marLeft w:val="0"/>
          <w:marRight w:val="0"/>
          <w:marTop w:val="0"/>
          <w:marBottom w:val="0"/>
          <w:divBdr>
            <w:top w:val="none" w:sz="0" w:space="0" w:color="auto"/>
            <w:left w:val="none" w:sz="0" w:space="0" w:color="auto"/>
            <w:bottom w:val="none" w:sz="0" w:space="0" w:color="auto"/>
            <w:right w:val="none" w:sz="0" w:space="0" w:color="auto"/>
          </w:divBdr>
          <w:divsChild>
            <w:div w:id="1820995733">
              <w:marLeft w:val="0"/>
              <w:marRight w:val="0"/>
              <w:marTop w:val="0"/>
              <w:marBottom w:val="0"/>
              <w:divBdr>
                <w:top w:val="none" w:sz="0" w:space="0" w:color="auto"/>
                <w:left w:val="none" w:sz="0" w:space="0" w:color="auto"/>
                <w:bottom w:val="none" w:sz="0" w:space="0" w:color="auto"/>
                <w:right w:val="none" w:sz="0" w:space="0" w:color="auto"/>
              </w:divBdr>
              <w:divsChild>
                <w:div w:id="178869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636176">
          <w:marLeft w:val="0"/>
          <w:marRight w:val="0"/>
          <w:marTop w:val="0"/>
          <w:marBottom w:val="0"/>
          <w:divBdr>
            <w:top w:val="none" w:sz="0" w:space="0" w:color="auto"/>
            <w:left w:val="none" w:sz="0" w:space="0" w:color="auto"/>
            <w:bottom w:val="none" w:sz="0" w:space="0" w:color="auto"/>
            <w:right w:val="none" w:sz="0" w:space="0" w:color="auto"/>
          </w:divBdr>
          <w:divsChild>
            <w:div w:id="11849719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745734979">
      <w:bodyDiv w:val="1"/>
      <w:marLeft w:val="0"/>
      <w:marRight w:val="0"/>
      <w:marTop w:val="0"/>
      <w:marBottom w:val="0"/>
      <w:divBdr>
        <w:top w:val="none" w:sz="0" w:space="0" w:color="auto"/>
        <w:left w:val="none" w:sz="0" w:space="0" w:color="auto"/>
        <w:bottom w:val="none" w:sz="0" w:space="0" w:color="auto"/>
        <w:right w:val="none" w:sz="0" w:space="0" w:color="auto"/>
      </w:divBdr>
    </w:div>
    <w:div w:id="113405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dpi.com/1660-4601/15/12/2668" TargetMode="External"/><Relationship Id="rId13" Type="http://schemas.openxmlformats.org/officeDocument/2006/relationships/hyperlink" Target="https://jamanetwork.com/journals/jamanetworkopen/fullarticle/2813603" TargetMode="External"/><Relationship Id="rId3" Type="http://schemas.openxmlformats.org/officeDocument/2006/relationships/webSettings" Target="webSettings.xml"/><Relationship Id="rId7" Type="http://schemas.openxmlformats.org/officeDocument/2006/relationships/hyperlink" Target="https://www.pediatricnursing.org/article/S0882-5963(17)30185-9/fulltext" TargetMode="External"/><Relationship Id="rId12" Type="http://schemas.openxmlformats.org/officeDocument/2006/relationships/hyperlink" Target="https://www.theguardian.com/environment/2021/dec/04/woodland-walks-save-uk-185m-a-year-in-mental-health-costs-report-finds"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theguardian.com/environment/2020/aug/24/children-raised-greener-areas-higher-iq-study" TargetMode="External"/><Relationship Id="rId11" Type="http://schemas.openxmlformats.org/officeDocument/2006/relationships/hyperlink" Target="https://www.theguardian.com/society/2021/dec/20/contact-with-nature-cities-reduces-loneliness-study-mental-health" TargetMode="External"/><Relationship Id="rId5" Type="http://schemas.openxmlformats.org/officeDocument/2006/relationships/hyperlink" Target="https://www.degruyter.com/document/doi/10.1515/reveh-2019-0046/html" TargetMode="External"/><Relationship Id="rId15" Type="http://schemas.openxmlformats.org/officeDocument/2006/relationships/hyperlink" Target="https://www.sciencedirect.com/science/article/abs/pii/S0013935121008410?via%3Dihub" TargetMode="External"/><Relationship Id="rId10" Type="http://schemas.openxmlformats.org/officeDocument/2006/relationships/hyperlink" Target="https://www.sciencedirect.com/science/article/pii/S0160412022001003" TargetMode="External"/><Relationship Id="rId4" Type="http://schemas.openxmlformats.org/officeDocument/2006/relationships/hyperlink" Target="https://www.theguardian.com/world/belgium" TargetMode="External"/><Relationship Id="rId9" Type="http://schemas.openxmlformats.org/officeDocument/2006/relationships/hyperlink" Target="https://www.theguardian.com/environment/2019/jun/13/two-hour-dose-nature-weekly-boosts-health-study-finds" TargetMode="External"/><Relationship Id="rId14" Type="http://schemas.openxmlformats.org/officeDocument/2006/relationships/hyperlink" Target="https://linkinghub.elsevier.com/retrieve/pii/S004896972202486X%5C"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761</Words>
  <Characters>4036</Characters>
  <Application>Microsoft Office Word</Application>
  <DocSecurity>0</DocSecurity>
  <Lines>33</Lines>
  <Paragraphs>9</Paragraphs>
  <ScaleCrop>false</ScaleCrop>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2024-01-28T12:29:00Z</dcterms:created>
  <dcterms:modified xsi:type="dcterms:W3CDTF">2024-01-28T12:53:00Z</dcterms:modified>
</cp:coreProperties>
</file>